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D0A8E" w14:textId="77777777" w:rsidR="00375426" w:rsidRPr="00582608" w:rsidRDefault="00CA25C0" w:rsidP="00D22CD6">
      <w:pPr>
        <w:tabs>
          <w:tab w:val="left" w:pos="990"/>
        </w:tabs>
        <w:ind w:left="-680"/>
        <w:jc w:val="both"/>
        <w:rPr>
          <w:rFonts w:ascii="DejaVu Sans" w:hAnsi="DejaVu Sans"/>
          <w:lang w:val="ka-GE"/>
        </w:rPr>
      </w:pPr>
      <w:r>
        <w:rPr>
          <w:noProof/>
        </w:rPr>
        <w:pict w14:anchorId="28DAE21B">
          <v:shapetype id="_x0000_t202" coordsize="21600,21600" o:spt="202" path="m,l,21600r21600,l21600,xe">
            <v:stroke joinstyle="miter"/>
            <v:path gradientshapeok="t" o:connecttype="rect"/>
          </v:shapetype>
          <v:shape id="Text Box 2" o:spid="_x0000_s1028" type="#_x0000_t202" style="position:absolute;left:0;text-align:left;margin-left:229.75pt;margin-top:127.5pt;width:282.5pt;height:107.2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34EA6E23" w14:textId="77777777" w:rsidR="00F0318C" w:rsidRPr="00F0318C" w:rsidRDefault="00F0318C" w:rsidP="00F0318C">
                  <w:pPr>
                    <w:spacing w:after="0" w:line="240" w:lineRule="auto"/>
                    <w:ind w:firstLine="450"/>
                    <w:contextualSpacing/>
                    <w:jc w:val="right"/>
                    <w:rPr>
                      <w:rFonts w:ascii="Calibri" w:eastAsia="Calibri" w:hAnsi="Calibri" w:cs="Times New Roman"/>
                    </w:rPr>
                  </w:pPr>
                  <w:r w:rsidRPr="00F0318C">
                    <w:rPr>
                      <w:rFonts w:ascii="Sylfaen" w:eastAsia="Calibri" w:hAnsi="Sylfaen" w:cs="Sylfaen"/>
                    </w:rPr>
                    <w:t>დამტკიცებულია</w:t>
                  </w:r>
                  <w:r w:rsidRPr="00F0318C">
                    <w:rPr>
                      <w:rFonts w:ascii="Calibri" w:eastAsia="Calibri" w:hAnsi="Calibri" w:cs="Times New Roman"/>
                    </w:rPr>
                    <w:t xml:space="preserve"> </w:t>
                  </w:r>
                  <w:r w:rsidRPr="00F0318C">
                    <w:rPr>
                      <w:rFonts w:ascii="Sylfaen" w:eastAsia="Calibri" w:hAnsi="Sylfaen" w:cs="Sylfaen"/>
                    </w:rPr>
                    <w:t>უნივერსიტეტის</w:t>
                  </w:r>
                  <w:r w:rsidRPr="00F0318C">
                    <w:rPr>
                      <w:rFonts w:ascii="Calibri" w:eastAsia="Calibri" w:hAnsi="Calibri" w:cs="Times New Roman"/>
                    </w:rPr>
                    <w:t xml:space="preserve"> </w:t>
                  </w:r>
                  <w:r w:rsidRPr="00F0318C">
                    <w:rPr>
                      <w:rFonts w:ascii="Sylfaen" w:eastAsia="Calibri" w:hAnsi="Sylfaen" w:cs="Sylfaen"/>
                    </w:rPr>
                    <w:t>მმართველი</w:t>
                  </w:r>
                  <w:r w:rsidRPr="00F0318C">
                    <w:rPr>
                      <w:rFonts w:ascii="Calibri" w:eastAsia="Calibri" w:hAnsi="Calibri" w:cs="Times New Roman"/>
                    </w:rPr>
                    <w:t xml:space="preserve"> </w:t>
                  </w:r>
                  <w:r w:rsidRPr="00F0318C">
                    <w:rPr>
                      <w:rFonts w:ascii="Sylfaen" w:eastAsia="Calibri" w:hAnsi="Sylfaen" w:cs="Sylfaen"/>
                    </w:rPr>
                    <w:t>საბჭოს</w:t>
                  </w:r>
                  <w:r w:rsidRPr="00F0318C">
                    <w:rPr>
                      <w:rFonts w:ascii="Calibri" w:eastAsia="Calibri" w:hAnsi="Calibri" w:cs="Times New Roman"/>
                    </w:rPr>
                    <w:t xml:space="preserve"> </w:t>
                  </w:r>
                  <w:r w:rsidRPr="00F0318C">
                    <w:rPr>
                      <w:rFonts w:ascii="Sylfaen" w:eastAsia="Calibri" w:hAnsi="Sylfaen" w:cs="Sylfaen"/>
                    </w:rPr>
                    <w:t>მიერ</w:t>
                  </w:r>
                  <w:r w:rsidRPr="00F0318C">
                    <w:rPr>
                      <w:rFonts w:ascii="Calibri" w:eastAsia="Calibri" w:hAnsi="Calibri" w:cs="Times New Roman"/>
                    </w:rPr>
                    <w:t>,</w:t>
                  </w:r>
                </w:p>
                <w:p w14:paraId="2090021E" w14:textId="77777777" w:rsidR="00F0318C" w:rsidRPr="00F0318C" w:rsidRDefault="00F0318C" w:rsidP="00F0318C">
                  <w:pPr>
                    <w:spacing w:after="0" w:line="240" w:lineRule="auto"/>
                    <w:ind w:firstLine="450"/>
                    <w:contextualSpacing/>
                    <w:jc w:val="right"/>
                    <w:rPr>
                      <w:rFonts w:ascii="Sylfaen" w:eastAsia="Calibri" w:hAnsi="Sylfaen" w:cs="Times New Roman"/>
                      <w:b/>
                      <w:bCs/>
                      <w:sz w:val="24"/>
                      <w:szCs w:val="24"/>
                      <w:lang w:val="ka-GE"/>
                    </w:rPr>
                  </w:pPr>
                  <w:r w:rsidRPr="00F0318C">
                    <w:rPr>
                      <w:rFonts w:ascii="Calibri" w:eastAsia="Calibri" w:hAnsi="Calibri" w:cs="Times New Roman"/>
                    </w:rPr>
                    <w:t xml:space="preserve"> 2020 </w:t>
                  </w:r>
                  <w:r w:rsidRPr="00F0318C">
                    <w:rPr>
                      <w:rFonts w:ascii="Sylfaen" w:eastAsia="Calibri" w:hAnsi="Sylfaen" w:cs="Sylfaen"/>
                    </w:rPr>
                    <w:t>წლის</w:t>
                  </w:r>
                  <w:r w:rsidRPr="00F0318C">
                    <w:rPr>
                      <w:rFonts w:ascii="Calibri" w:eastAsia="Calibri" w:hAnsi="Calibri" w:cs="Times New Roman"/>
                    </w:rPr>
                    <w:t xml:space="preserve"> 17 </w:t>
                  </w:r>
                  <w:r w:rsidRPr="00F0318C">
                    <w:rPr>
                      <w:rFonts w:ascii="Sylfaen" w:eastAsia="Calibri" w:hAnsi="Sylfaen" w:cs="Sylfaen"/>
                    </w:rPr>
                    <w:t>მარტის</w:t>
                  </w:r>
                  <w:r w:rsidRPr="00F0318C">
                    <w:rPr>
                      <w:rFonts w:ascii="Calibri" w:eastAsia="Calibri" w:hAnsi="Calibri" w:cs="Times New Roman"/>
                    </w:rPr>
                    <w:t xml:space="preserve"> №6 </w:t>
                  </w:r>
                  <w:r w:rsidRPr="00F0318C">
                    <w:rPr>
                      <w:rFonts w:ascii="Sylfaen" w:eastAsia="Calibri" w:hAnsi="Sylfaen" w:cs="Sylfaen"/>
                    </w:rPr>
                    <w:t>ოქმი</w:t>
                  </w:r>
                </w:p>
                <w:p w14:paraId="621EF342" w14:textId="77777777" w:rsidR="00BE104D" w:rsidRPr="008D1347" w:rsidRDefault="00BE104D" w:rsidP="008D1347">
                  <w:pPr>
                    <w:jc w:val="both"/>
                    <w:rPr>
                      <w:rFonts w:ascii="Sylfaen" w:hAnsi="Sylfaen"/>
                      <w:lang w:val="ka-GE"/>
                    </w:rPr>
                  </w:pPr>
                </w:p>
              </w:txbxContent>
            </v:textbox>
            <w10:wrap type="square"/>
          </v:shape>
        </w:pict>
      </w:r>
      <w:r>
        <w:rPr>
          <w:rFonts w:ascii="DejaVu Sans" w:hAnsi="DejaVu Sans"/>
          <w:lang w:val="ka-GE"/>
        </w:rPr>
        <w:pict w14:anchorId="7020E785">
          <v:shape id="Text Box 50" o:spid="_x0000_s1026" type="#_x0000_t202" style="position:absolute;left:0;text-align:left;margin-left:0;margin-top:343.75pt;width:571.7pt;height:384.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w:txbxContent>
                <w:p w14:paraId="4E093A79"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53150FD1"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პერსონალის მართვის პოლიტიკა</w:t>
                  </w:r>
                </w:p>
                <w:p w14:paraId="6A0CB94A"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7A34A1F8" w14:textId="77777777" w:rsidR="00582608" w:rsidRDefault="00582608" w:rsidP="007F4A58">
                  <w:pPr>
                    <w:jc w:val="center"/>
                    <w:rPr>
                      <w:rFonts w:ascii="BPG Nino Mtavruli" w:hAnsi="BPG Nino Mtavruli"/>
                      <w:color w:val="2F5496" w:themeColor="accent1" w:themeShade="BF"/>
                      <w:sz w:val="96"/>
                      <w:szCs w:val="76"/>
                      <w:lang w:val="ka-GE"/>
                    </w:rPr>
                  </w:pPr>
                </w:p>
                <w:p w14:paraId="50369BAF" w14:textId="77777777" w:rsidR="00582608" w:rsidRDefault="00582608" w:rsidP="007F4A58">
                  <w:pPr>
                    <w:jc w:val="center"/>
                    <w:rPr>
                      <w:rFonts w:ascii="BPG Nino Mtavruli" w:hAnsi="BPG Nino Mtavruli"/>
                      <w:color w:val="2F5496" w:themeColor="accent1" w:themeShade="BF"/>
                      <w:sz w:val="96"/>
                      <w:szCs w:val="76"/>
                      <w:lang w:val="ka-GE"/>
                    </w:rPr>
                  </w:pPr>
                </w:p>
                <w:p w14:paraId="59FF6B67" w14:textId="77777777" w:rsidR="005E32E6" w:rsidRDefault="005E32E6" w:rsidP="007F4A58">
                  <w:pPr>
                    <w:jc w:val="center"/>
                    <w:rPr>
                      <w:rFonts w:ascii="BPG Nino Mtavruli" w:hAnsi="BPG Nino Mtavruli"/>
                      <w:color w:val="2F5496" w:themeColor="accent1" w:themeShade="BF"/>
                      <w:sz w:val="96"/>
                      <w:szCs w:val="76"/>
                      <w:lang w:val="ka-GE"/>
                    </w:rPr>
                  </w:pPr>
                </w:p>
                <w:p w14:paraId="36C83EA9" w14:textId="77777777" w:rsidR="00582608" w:rsidRPr="005E32E6" w:rsidRDefault="008D1347" w:rsidP="007F4A58">
                  <w:pPr>
                    <w:jc w:val="center"/>
                    <w:rPr>
                      <w:rFonts w:ascii="Sylfaen" w:hAnsi="Sylfaen" w:cs="Sylfaen"/>
                      <w:color w:val="2F5496" w:themeColor="accent1" w:themeShade="BF"/>
                      <w:sz w:val="50"/>
                      <w:szCs w:val="50"/>
                      <w:lang w:val="ka-GE"/>
                    </w:rPr>
                  </w:pPr>
                  <w:r>
                    <w:rPr>
                      <w:rFonts w:ascii="Sylfaen" w:hAnsi="Sylfaen" w:cs="Sylfaen"/>
                      <w:color w:val="2F5496" w:themeColor="accent1" w:themeShade="BF"/>
                      <w:sz w:val="50"/>
                      <w:szCs w:val="50"/>
                      <w:lang w:val="ka-GE"/>
                    </w:rPr>
                    <w:t>2020</w:t>
                  </w:r>
                </w:p>
                <w:p w14:paraId="3B18B6FB" w14:textId="77777777" w:rsidR="00582608" w:rsidRDefault="00582608" w:rsidP="007F4A58">
                  <w:pPr>
                    <w:jc w:val="center"/>
                    <w:rPr>
                      <w:rFonts w:ascii="BPG Nino Mtavruli" w:hAnsi="BPG Nino Mtavruli"/>
                      <w:color w:val="2F5496" w:themeColor="accent1" w:themeShade="BF"/>
                      <w:sz w:val="96"/>
                      <w:szCs w:val="76"/>
                      <w:lang w:val="ka-GE"/>
                    </w:rPr>
                  </w:pPr>
                </w:p>
                <w:p w14:paraId="3E309001" w14:textId="052D2919" w:rsidR="00582608" w:rsidRPr="007F4A58" w:rsidRDefault="00582608" w:rsidP="007F4A58">
                  <w:pPr>
                    <w:jc w:val="center"/>
                    <w:rPr>
                      <w:rFonts w:ascii="BPG Nino Mtavruli" w:hAnsi="BPG Nino Mtavruli"/>
                      <w:color w:val="2F5496" w:themeColor="accent1" w:themeShade="BF"/>
                      <w:sz w:val="96"/>
                      <w:szCs w:val="76"/>
                      <w:lang w:val="ka-GE"/>
                    </w:rPr>
                  </w:pPr>
                </w:p>
              </w:txbxContent>
            </v:textbox>
            <w10:wrap anchorx="page"/>
          </v:shape>
        </w:pict>
      </w:r>
      <w:bookmarkStart w:id="0" w:name="_GoBack"/>
      <w:r w:rsidR="00375426" w:rsidRPr="00582608">
        <w:rPr>
          <w:rFonts w:ascii="DejaVu Sans" w:hAnsi="DejaVu Sans"/>
          <w:noProof/>
        </w:rPr>
        <w:drawing>
          <wp:inline distT="0" distB="0" distL="0" distR="0" wp14:anchorId="395EBE9F" wp14:editId="02C3A36C">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End w:id="0"/>
    </w:p>
    <w:p w14:paraId="0EF5B971"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0AB364E0" w14:textId="0EFD46D6"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ჩვენი ხედვა</w:t>
      </w:r>
    </w:p>
    <w:p w14:paraId="1F318A7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ჩვენ გვჯერა, რომ ევროპის უნივერსიტეტის პერსონალი არის ორგანიზაციის წარმატების ძირითადი რესურსი და ვერაფერი მიიღწევა მათი ჩართულობისა და წვლილის გარეშე. ჩვენ ვიღწვით, რომ შევქმნათ მდგრადი სამუშაო გარემო, ორგანიზაციული კულტურა, რომელიც ხელს შეუწყობს ინოვაციას, დაფუძნებული იქნება ურთიერთპატივისცემასა და ურთიერთდახმარებაზე.</w:t>
      </w:r>
    </w:p>
    <w:p w14:paraId="09751709" w14:textId="77777777" w:rsidR="00F0318C" w:rsidRPr="00F0318C" w:rsidRDefault="00F0318C" w:rsidP="00F0318C">
      <w:pPr>
        <w:spacing w:after="0" w:line="240" w:lineRule="auto"/>
        <w:contextualSpacing/>
        <w:jc w:val="both"/>
        <w:rPr>
          <w:rFonts w:ascii="Sylfaen" w:eastAsia="Calibri" w:hAnsi="Sylfaen" w:cs="Times New Roman"/>
          <w:b/>
          <w:bCs/>
          <w:sz w:val="24"/>
          <w:szCs w:val="24"/>
          <w:lang w:val="ka-GE"/>
        </w:rPr>
      </w:pPr>
    </w:p>
    <w:p w14:paraId="0BF047D5" w14:textId="259346DA"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ჩვენი მისია </w:t>
      </w:r>
    </w:p>
    <w:p w14:paraId="1C0060D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პერსონლის მართვის პოლიტიკა მხარს უჭერს და ეყრდნობა უნივერსიტეტის მიზნებსა და ამოცანებს სწავლა-სწავლებისა და სამეცნიერო-კვლევითი საქმიანობის ხარისხის განვითარება-გაუმჯობესების მიმართულებით. ამ ყველაფრის უზრუნველსაყოფად, პერსონალის მართვის პოლიტიკამ უნდა უზრუნველყოს: </w:t>
      </w:r>
    </w:p>
    <w:p w14:paraId="5590D7C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მრავალფეროვანი და ნიჭიერი ადამიანური რესურსის მოზიდვის, განვითარების, წახალისებისა და შენარჩუნების მექანიზმების დანერგვა; </w:t>
      </w:r>
    </w:p>
    <w:p w14:paraId="30B1B5F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პროდუქტიული სამუშაო გარემოს ჩამოყალიბება, სადაც ადამიანები იგრძნობენ თავს დაფასებულად; </w:t>
      </w:r>
    </w:p>
    <w:p w14:paraId="2C9DCC8C"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სამართლიანი და ეთიკური სამუშაო გარემოს ჩამოყალიბება.</w:t>
      </w:r>
    </w:p>
    <w:p w14:paraId="3CBCE336"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35656BFB"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17CA629A" w14:textId="1E11DB22"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ძირითდი პრინციპები</w:t>
      </w:r>
    </w:p>
    <w:p w14:paraId="4A35676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ადამიანური კაპიტალი წარმოადგენს ძირითად რესურსს მიმზიდველი სამუშაო გარემოს ჩამოსაყალიბებლად. ჩვენი მიზანია, უნივერსიტეტის მაღალკვალიფიციური პერსონალი, სამუშაოს შესრულებისას იყოს მაქსიმალურად გადაწყვეტილებაუნარიანი, კრეატიული და მოქნილი. </w:t>
      </w:r>
    </w:p>
    <w:p w14:paraId="7DCD338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პერსონალის მართვის ძირითადი პრინციპებია: </w:t>
      </w:r>
    </w:p>
    <w:p w14:paraId="443FDDE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131930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75F5C864" w14:textId="2E107B33"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საერთო პასუხისმგებლობა </w:t>
      </w:r>
    </w:p>
    <w:p w14:paraId="7115A85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შუა რგოლის მენეჯერებს აქვთ უდიდესი პასუხისმგებლობა იმ სამუშაო გარემოს შექმნასა და მდგრადობის უზრუნველყოფაში, სადაც ადამიანებს აქვთ აღქმა რომ უნდა იყვნენ უნივერსიტეტის შენებაში პერსონალურად ჩართულნი, გააკეთონ თავიანთი შესაძლებლობების მაქსიმუმი, რათა ორგანიზაციის წარმატება უზრუნველყონ. შესაბამისად, მათი წვლილი საერთო პასუხისმგებლობის გაზიარებასა და ამ ყველაფრის დაქვემდებარებულ პერსონალამდე დაყვანაში არის ყველაზე მნიშვნელოვანი. </w:t>
      </w:r>
    </w:p>
    <w:p w14:paraId="66E860A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sz w:val="24"/>
          <w:szCs w:val="24"/>
          <w:lang w:val="ka-GE"/>
        </w:rPr>
        <w:t xml:space="preserve"> </w:t>
      </w:r>
    </w:p>
    <w:p w14:paraId="7BCFFBE4"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041C4BFF" w14:textId="495310D2"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lastRenderedPageBreak/>
        <w:t xml:space="preserve">მომსახურებაზე ორიენტაცია </w:t>
      </w:r>
    </w:p>
    <w:p w14:paraId="4C9C39E5" w14:textId="7B0BCE7B"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დაინტერესებულ მხარეებთან</w:t>
      </w:r>
      <w:r w:rsidRPr="00F0318C">
        <w:rPr>
          <w:rFonts w:ascii="Sylfaen" w:eastAsia="Calibri" w:hAnsi="Sylfaen" w:cs="Times New Roman"/>
          <w:sz w:val="24"/>
          <w:szCs w:val="24"/>
          <w:vertAlign w:val="superscript"/>
          <w:lang w:val="ka-GE"/>
        </w:rPr>
        <w:footnoteReference w:id="1"/>
      </w:r>
      <w:r w:rsidRPr="00F0318C">
        <w:rPr>
          <w:rFonts w:ascii="Sylfaen" w:eastAsia="Calibri" w:hAnsi="Sylfaen" w:cs="Times New Roman"/>
          <w:sz w:val="24"/>
          <w:szCs w:val="24"/>
          <w:lang w:val="ka-GE"/>
        </w:rPr>
        <w:t xml:space="preserve"> მუდმივი კონტაქტი მათი პრიორიტეტების იდენტიფიცირებისა და მათზე დროული რეაგირების დაგეგმვის მიზნით; </w:t>
      </w:r>
    </w:p>
    <w:p w14:paraId="2065F23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დროული, სწორი და ზუსტი ინფორმაციის მიწოდების უზრუნველყოფა; </w:t>
      </w:r>
    </w:p>
    <w:p w14:paraId="020AE52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რჩევებისა და პრობლემათა გადაწყვეტის გზების დროული მიწოდება დაინტერესებული პირებისთვის, უნივერსიტეტის სათანადო ფუნქციონირების მიზნით; </w:t>
      </w:r>
    </w:p>
    <w:p w14:paraId="7705DE9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ჩართულობისა და უწყვეტი განვითარების დემონსტრირება. </w:t>
      </w:r>
    </w:p>
    <w:p w14:paraId="3738FD0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204FF2E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გუნდურობა </w:t>
      </w:r>
    </w:p>
    <w:p w14:paraId="362636F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მართვის მექანიზმების, ცოდნის, ტალანტისა და ადამიანური კაპიტალის მაქსიმალური გამოყენება და გაზიარება; </w:t>
      </w:r>
    </w:p>
    <w:p w14:paraId="7317CAF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პატივისცემით გამსჭვალული, ღია და თანამშრომლობაზე ორიენტირებული კომუნიკაცია. </w:t>
      </w:r>
    </w:p>
    <w:p w14:paraId="72D3589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30FBD0C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საერთო ორგანიზაციულ ღირებულებათა პატივისცემა </w:t>
      </w:r>
    </w:p>
    <w:p w14:paraId="47848C3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გულწრფელობა და ეთიკურობა; </w:t>
      </w:r>
    </w:p>
    <w:p w14:paraId="430365A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სანდო და სამართლიანი მომსახურებით უზრუნველყოფა. ანგარიშვალდებულება </w:t>
      </w:r>
    </w:p>
    <w:p w14:paraId="7460A64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3AD85C2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გამჭვირვალობა პროცედურული საკითხებისა და გადაწყვეტილების მიღებაში; </w:t>
      </w:r>
    </w:p>
    <w:p w14:paraId="1954BE0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შეფასების მექანიზმების შექმნა, რათა გარე დაინტერესებული პირებისთვის ადვილად გასაგები და შესაფასებელი იყოს პროცედურები; </w:t>
      </w:r>
    </w:p>
    <w:p w14:paraId="630BF02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ქმედებებსა და შედეგებთან დაკავშირებით უწყვეტი კომუნიკაცია. </w:t>
      </w:r>
    </w:p>
    <w:p w14:paraId="5C091CE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4A692B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ადამიანური რესურსების მართვის სამსახური უზრუნველყოფს მომსახურებას უნივერსიტეტის პერსონალისთვის</w:t>
      </w:r>
      <w:r w:rsidRPr="00F0318C">
        <w:rPr>
          <w:rFonts w:ascii="Sylfaen" w:eastAsia="Calibri" w:hAnsi="Sylfaen" w:cs="Times New Roman"/>
          <w:sz w:val="24"/>
          <w:szCs w:val="24"/>
          <w:vertAlign w:val="superscript"/>
          <w:lang w:val="ka-GE"/>
        </w:rPr>
        <w:footnoteReference w:id="2"/>
      </w:r>
      <w:r w:rsidRPr="00F0318C">
        <w:rPr>
          <w:rFonts w:ascii="Sylfaen" w:eastAsia="Calibri" w:hAnsi="Sylfaen" w:cs="Times New Roman"/>
          <w:sz w:val="24"/>
          <w:szCs w:val="24"/>
          <w:lang w:val="ka-GE"/>
        </w:rPr>
        <w:t xml:space="preserve">. შესაბამისად, პერსონალის მართვის პოლიტიკა წარმოადგენს ერთიან ხედვას უნივერსიტეტში დასაქმებული პირების საქმიანობის მართვის მიმართულებით. </w:t>
      </w:r>
    </w:p>
    <w:p w14:paraId="12DF7504" w14:textId="12B91219"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C3E303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28CD79B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 პერსონალი და მისი მოზიდვის მექანიზმები </w:t>
      </w:r>
    </w:p>
    <w:p w14:paraId="6DC2339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უნივერსიტეტში არსებობს პერსონალის შემდეგი კლასიფიკაცია: აკადემიური პერონალი (პროფესორი, ასოცირებული პროფესორი, ასისტენტ-პროფესორი, ასისტენტი), სამეცნიერო პერსონალი, მოწვეული პერსონალი, ადმინისტრაციული პერსონალი და დამხმარე პერსონალი. </w:t>
      </w:r>
    </w:p>
    <w:p w14:paraId="4E4151B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2.</w:t>
      </w:r>
      <w:r w:rsidRPr="00F0318C">
        <w:rPr>
          <w:rFonts w:ascii="Sylfaen" w:eastAsia="Calibri" w:hAnsi="Sylfaen" w:cs="Times New Roman"/>
          <w:sz w:val="24"/>
          <w:szCs w:val="24"/>
          <w:lang w:val="ka-GE"/>
        </w:rPr>
        <w:tab/>
        <w:t xml:space="preserve">დასაქმების ბაზარზე და ზოგადად, უნივერსიტეტებს შორის არსებული კონკურენციის გათვალისწინებით, ევროპის უნივრსიტეტი პერსონალის მოზიდვის თვალსაზრისით სხვადასხვა ფორმებს მიმართავს, ესენია: </w:t>
      </w:r>
    </w:p>
    <w:p w14:paraId="3AE7AB4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ვაკანსიების განთავსება სხვადასხვა ვებ-პორტალებსა და სოციალურ ქსელებში (აღნიშნული მეთოდი გაცილებით ხარჯეფექტურია, გავრცელების დიდი არეალი გააჩნია და შესაბამისად, ეფექტიან შედეგებსაც იძლევა); </w:t>
      </w:r>
    </w:p>
    <w:p w14:paraId="64A26A3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უნივერსიტეტში დასაქმებული პერსონალის პირადი კონტაქტების გამოყენება </w:t>
      </w:r>
    </w:p>
    <w:p w14:paraId="45D13B8F" w14:textId="77777777" w:rsidR="00F0318C" w:rsidRPr="00F0318C" w:rsidRDefault="00F0318C" w:rsidP="00F0318C">
      <w:pPr>
        <w:spacing w:after="0" w:line="240" w:lineRule="auto"/>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კვალიფიციურ კადრებთან დაკავშირებისა და მათი მოზიდვის მიზნით; </w:t>
      </w:r>
    </w:p>
    <w:p w14:paraId="06E6C1A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დამწყები, პერსპექტიული ინდივიდების მოზიდვა, მათი შემდგომი პროფესიული განვითარების დაგეგმვის პარალელურად. ახალგაზრდა, ნაკლები გამოცდილების მქონე პირები ნაკლებ ფინანსურ რესურსს მოითხოვენ, ამასთანავე მათი მოტივაცია გაცილებით დიდია, როგორც თვითგანვითარების, ასევე, ორგანიზაციის წარმატებაში წვლილის შეტანის მხრივ და ახალი იდეების გენერირების მიმართულებით; </w:t>
      </w:r>
    </w:p>
    <w:p w14:paraId="5DA0024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 კვალიფიციური კანდიდატებისთვის კონკურენტუნარიანი ანაზღაურების  შეთავაზება; </w:t>
      </w:r>
    </w:p>
    <w:p w14:paraId="5E852D9F" w14:textId="60F7F956"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ე) </w:t>
      </w:r>
      <w:r w:rsidRPr="00F0318C">
        <w:rPr>
          <w:rFonts w:ascii="Sylfaen" w:eastAsia="Calibri" w:hAnsi="Sylfaen" w:cs="Times New Roman"/>
          <w:sz w:val="24"/>
          <w:szCs w:val="24"/>
          <w:lang w:val="ka-GE"/>
        </w:rPr>
        <w:tab/>
        <w:t xml:space="preserve">შესაბამისი </w:t>
      </w:r>
      <w:r w:rsidRPr="00F0318C">
        <w:rPr>
          <w:rFonts w:ascii="Sylfaen" w:eastAsia="Calibri" w:hAnsi="Sylfaen" w:cs="Times New Roman"/>
          <w:sz w:val="24"/>
          <w:szCs w:val="24"/>
          <w:lang w:val="ka-GE"/>
        </w:rPr>
        <w:tab/>
        <w:t xml:space="preserve">სამუშაო </w:t>
      </w:r>
      <w:r w:rsidRPr="00F0318C">
        <w:rPr>
          <w:rFonts w:ascii="Sylfaen" w:eastAsia="Calibri" w:hAnsi="Sylfaen" w:cs="Times New Roman"/>
          <w:sz w:val="24"/>
          <w:szCs w:val="24"/>
          <w:lang w:val="ka-GE"/>
        </w:rPr>
        <w:tab/>
        <w:t xml:space="preserve">გარემოთი </w:t>
      </w:r>
      <w:r w:rsidRPr="00F0318C">
        <w:rPr>
          <w:rFonts w:ascii="Sylfaen" w:eastAsia="Calibri" w:hAnsi="Sylfaen" w:cs="Times New Roman"/>
          <w:sz w:val="24"/>
          <w:szCs w:val="24"/>
          <w:lang w:val="ka-GE"/>
        </w:rPr>
        <w:tab/>
        <w:t xml:space="preserve">პერსონალის უზრუნველყოფა (კეთილმოწყობილი აუდიტორიები, თანამედროვე ტექნიკა, შესაბამისად აღჭურვილი საპროფესორო და სასწავლო სივრცე და სხვ.); </w:t>
      </w:r>
    </w:p>
    <w:p w14:paraId="36340AF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ვ) პერსონალისთვის კვალიფიკაციის ამაღლების შესაძლებლობების მიცემა (ტრენინგები, საერთაშორისო კონფერენციები, გაცვლითი პროგრამები, კვლევითი საქმიანობის ხელშეწყობა და სხვ.); </w:t>
      </w:r>
    </w:p>
    <w:p w14:paraId="0594CC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ზ) პერსონალისთვის მრავალფეროვანი წახალისების მექანიზმების შეთავაზება; </w:t>
      </w:r>
    </w:p>
    <w:p w14:paraId="38676B7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თ) უნივერსიტეტის, როგორც ზოგადად ბრენდის პრესტიჟის ამაღლებაზეზრუნვა, რაც ორგანიზაციის, როგორც კონკურენტუნარიანი დამსაქმებლის სახეს წარმოაჩენს. </w:t>
      </w:r>
    </w:p>
    <w:p w14:paraId="7291D8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02673D3"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2. პერსონალის შერჩევა </w:t>
      </w:r>
    </w:p>
    <w:p w14:paraId="3E36523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უნივერსიტეტში, პირი აკადემიურ თანამდებობაზე მიიღება მხოლოდ ღია კონკურსის საფუძველზე აკადემიური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w:t>
      </w:r>
    </w:p>
    <w:p w14:paraId="44FD361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ადმინისტრაციულ/დამხმარე თანამდებობაზე პირი მიიღება დანიშვნით. ადმინისტრაციული/დამხმარე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ადმინისტრაციული პერსონალის შერჩევა შესაძლებელია განხორციელდეს რამდენიმე ფორმის გამოყენებით: როტაცია, კადრის შერჩევა გაწეული რეკომენდაციის საფუძველზე და კონკურსი. </w:t>
      </w:r>
    </w:p>
    <w:p w14:paraId="4111D57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მოწვეული და სამეცნიერო პერსონალი მიიღება დანიშვნით. მოწვეული/სამეცნიერო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w:t>
      </w:r>
    </w:p>
    <w:p w14:paraId="64373BC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4.</w:t>
      </w:r>
      <w:r w:rsidRPr="00F0318C">
        <w:rPr>
          <w:rFonts w:ascii="Sylfaen" w:eastAsia="Calibri" w:hAnsi="Sylfaen" w:cs="Times New Roman"/>
          <w:sz w:val="24"/>
          <w:szCs w:val="24"/>
          <w:lang w:val="ka-GE"/>
        </w:rPr>
        <w:tab/>
        <w:t xml:space="preserve">თანამდებობათა დასაკავებლად გამოცხადებული კონკურსის მიზანია, უნივერსიტეტში წინასწარ განსაზღვრული კრიტერიუმების შესაბამისად საუკეთესო კანდიდატის შერჩევა, ვაკანტური თანამდებობების თანაბარი ხელმისაწვდომობის უზრუნველყოფით. კონკურსი შესაძლებელია გამოცხადდეს უნივერსიტეტის ვებ- გვერდზე, დასაქმების სხვადასვხა ვებ-პორტალსა და სოციალურ ქსელში, საჭიროებისამებრ. კონკურსების ობიექტურად, გამჭვირვალედ და სამართლიანად ჩატარებას უზრუნველყოფს საკონკურსო კომისია. </w:t>
      </w:r>
    </w:p>
    <w:p w14:paraId="35FC28D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5. კონკურსის გამოცხადებამდე, შესაბამისი თანამდებობის სამუშაო აღწერილობის გათვალისწინებით, წინასწარ განისაზღვრება კანდიდატისთვის წაყენებული აუცილებელი მოთხოვნები, ასევე წარმოსადგენი დოკუმენტაცია/ინფორმაცია საკვალიფიკაციო მოხოვნების შესაბამისად. </w:t>
      </w:r>
    </w:p>
    <w:p w14:paraId="25B69B4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96F422A"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3. პერსონალის მიღება </w:t>
      </w:r>
    </w:p>
    <w:p w14:paraId="6C4A238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ახალი თანამშრომელი, ადმინისტრაციულ/დამხმარე თანამდებობაზე, მიიღება 6 თვემდე გამოსაცდელი ვადით, მისი უნარებისა და შესაძლებლობების, აგრეთვე, ორგანიზაციის კულტურასა და მოთხოვნებთან პირის შესაბამისობის, დადგენის მიზნით. </w:t>
      </w:r>
    </w:p>
    <w:p w14:paraId="73416C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2FDDD42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4. სამუშაო აღწერილობები </w:t>
      </w:r>
    </w:p>
    <w:p w14:paraId="6C1FBAF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ადმინისტრაციული და დამხმარე თანამდებობების სპეციფიკის გათვალისწინებით შემუშავებულია შესაბამისი სამუშაო აღწერილობა, რომელზე ხელის მოწერითაც პირი ადასტურებს თავის თანხმობას და იმ პასუხისმგებლობის თავის თავზე აღებას, რაც შესაბამისი სამუშაო აღწერილობით მისი თანამდებობისთვის არის გათვალისწინებული. </w:t>
      </w:r>
    </w:p>
    <w:p w14:paraId="1855ADA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29F340B9"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მუხლი 5. პერსონალს შორის სააუდიტორიო დატვირთვის გადანაწილების წესი</w:t>
      </w:r>
    </w:p>
    <w:p w14:paraId="7406D2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ყოველი ახალი სემესტრის დაწყების წინ შესაბამისი ფაკულტეტის დეკანი პროგრამის ხელმძღვანელთან/თანახელმძღვანელთან ერთად კონკრეტული სემესტრისთვის განსაზღვრული სასწავლო კურსებისა და სტუდენტთა რაოდენობის გათვალისწინებით განიხილავს სასწავლო კურსის განმახორციელებელი პერსონალის სააუდიტორიო დატვირთვის საკითხს. აღნიშნული დატვირთვის განაწილების დროს ფაკულტეტი ხელმძღვნელობს შემდეგი პრინციპით: უპირატესობა ენიჭება აფილირებულ აკადემიურ პერსონალს, შემდეგ აკადემიურ პერსონალს და ბოლოს მოწვეულ პერსონალს. დატვირთვის განაწილების დროს მხედველობაში მიიღება ,,აკადემიური და მოწვეული პერსონალის რაოდენობის განსაზღვრის მეთოდოლოგიით" პერსონალისთვის დადგენილი სემესტრული დატვირთვის ოდენობა.</w:t>
      </w:r>
    </w:p>
    <w:p w14:paraId="44C1663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4A7A645B"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6. ორგანიზაციაში ადაპტაცია </w:t>
      </w:r>
    </w:p>
    <w:p w14:paraId="5468C8E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1.</w:t>
      </w:r>
      <w:r w:rsidRPr="00F0318C">
        <w:rPr>
          <w:rFonts w:ascii="Sylfaen" w:eastAsia="Calibri" w:hAnsi="Sylfaen" w:cs="Times New Roman"/>
          <w:sz w:val="24"/>
          <w:szCs w:val="24"/>
          <w:lang w:val="ka-GE"/>
        </w:rPr>
        <w:tab/>
        <w:t xml:space="preserve">უნივერსიტეტში ახალი თანამშრომლის ადაპტაციას უზრუნველყოფს და ხელს უწყობს ადამიანური რესურსების მართვის სამსახური, უშუალო უფროსი და კოლეგები, რომლებიც პირს სამუშაო ადგილზე ხვდებიან. </w:t>
      </w:r>
    </w:p>
    <w:p w14:paraId="52EF471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არსებული პერსონალი, აგრეთვე, უშუალო ხელმძღვანელი ვალდებულია მაქსიმალურად შეუწყოს ხელი ახალი თანამშრომლისთვის კომფორტული გარემოს შექმნას, მისი ახალ გარემოში ადაპტაციის უზრუნველსაყოფად. </w:t>
      </w:r>
    </w:p>
    <w:p w14:paraId="40861D2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ადამიანური რესურსების მართვის სამსახურს შემუშავებული აქვს ახალ თანამშრომელთა სამუშაო გარემოში ადაპტაციის მექანიზმები და ახალ თანამშრომელთ ადაპტაციის სახელმძღვანელო, სადაც მოკლედ იქნება გაწერილი უნივერსიტეტში არსებული, როგორც ფორმალური, ისე არაფორმალური პროცედურები და ორგანიზაციული კულტურის ელემენტები. </w:t>
      </w:r>
    </w:p>
    <w:p w14:paraId="74197A6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0795FFE"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7. პერსონალის შეფასება </w:t>
      </w:r>
    </w:p>
    <w:p w14:paraId="1B644AF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ადმინისტრაციული/დამხმარე პერსონალის შეფასება არის თანამშრომელთა სამუშაოს შესრულების მართვის ციკლის ერთ-ერთი მნიშვნელოვანი ელემენტი. სამუშაოს შესრულების მართვა, თავის მხრივ, არის ადამიანური რესურსების მართვის კომპლექსური პროცესი, რომელიც უზრუნველყოფს თითოეული თანამშრომლის ჩართულობას ორგანიზაციის მისიის განხორციელებასა და მიზნების მიღწევაში. შეფასების მიზანია:  </w:t>
      </w:r>
    </w:p>
    <w:p w14:paraId="719BFE2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პერსონალის კარიერული განვითარება, პროფესიული უნარ-ჩვევების ამაღლება, წახალისება, პროფესიული განვითარების საჭიროებების დადგენა და უნივერსიტეტის ორგანიზაციული განვითარება; </w:t>
      </w:r>
    </w:p>
    <w:p w14:paraId="0873038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პერსონალის პროფესიული უნარ-ჩვევების, პროფესიული შესაძლებლობებისა </w:t>
      </w:r>
    </w:p>
    <w:p w14:paraId="3F5A28C8" w14:textId="77777777" w:rsidR="00F0318C" w:rsidRPr="00F0318C" w:rsidRDefault="00F0318C" w:rsidP="00F0318C">
      <w:pPr>
        <w:spacing w:after="0" w:line="240" w:lineRule="auto"/>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და პიროვნული თვისებების დაკავებულ თანამდებობასთან შესაბამისობის დადგენა. </w:t>
      </w:r>
    </w:p>
    <w:p w14:paraId="00DB4DF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უნივერსიტეტის ადმინისტრაციული/დამხმარე პერსონალის შეფასების სისტემა ეფუძნება პერსონალის კომპეტენციების შეფასებას. კომპეტენცი(ებ)ის შეფასება, პერსონალის თანამდებობის გათვალისწინებით, გულისხმობს იმ უნარ-ჩვევების შეფასებას, რომლებიც აუცილებელია შესაბამისი თანამდებობისათვის გათვალისწინებული მიზნ(ებ)ის/დავალებ(ებ)ის ან/და სამუშაო აღწერილობით განსაზღვრული სამუშაოს შესასრულებად. პერსონალის შეფასების პროცედურა და კრიტერიუმები მოცემულია ,,ევროპის უნივერსიტეტის ადმინისტრაციული პერსონალის კომპეტენციათა შეფასების სისტემაში“. </w:t>
      </w:r>
    </w:p>
    <w:p w14:paraId="784B816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აკადემიური და მოწვეული პერსონალის შეფასება ხდება რექტორის მიერ დადგენილი „შპს ევროპის უნივერსიტეტის აკადემიური და მოწვეული პერსონალის შეფასების წესის“ მიხედვით. პერსონალის აკადემიური და სამეცნიერო-კვლევითი საქმიანობის შეფასება ხელს უწყობს სამეცნიერო-სასწავლო საქმიანობის პროდუქტიულობის ზრდას, პერსონალის კვალიფიკაციისა და პროფესიონალიზმის ამაღლებას, შემოქმედებითი </w:t>
      </w:r>
      <w:r w:rsidRPr="00F0318C">
        <w:rPr>
          <w:rFonts w:ascii="Sylfaen" w:eastAsia="Calibri" w:hAnsi="Sylfaen" w:cs="Times New Roman"/>
          <w:sz w:val="24"/>
          <w:szCs w:val="24"/>
          <w:lang w:val="ka-GE"/>
        </w:rPr>
        <w:lastRenderedPageBreak/>
        <w:t xml:space="preserve">ინიციატივის გაღვივებას, რაც მიმართულია უნივერსიტეტის განვითარებასა და ხარისხის ამაღლებაზე. </w:t>
      </w:r>
    </w:p>
    <w:p w14:paraId="03B049D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D0DF1C3"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8. პერსონალის საგანმანათლებლო, კვლევით და სხვა მნიშვნელოვან   საკითხებთან დაკავშირებით გადაწყვეტილების მიღების პროცესებში ჩართულობა </w:t>
      </w:r>
    </w:p>
    <w:p w14:paraId="3B0076D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უნივერსიტეტი უზრუნველყოფს პერსონალის ჩართულობას საგანმანათლებლო, კვლევით და სხვა მნიშნელოვან საკითხებთან დაკავშირებით გადაწყვეტილების მიღების პროცესში. </w:t>
      </w:r>
    </w:p>
    <w:p w14:paraId="1BDC0E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უნივერსიტეტში გადაწყვეტილებები მიიღება შესაბამისი სტრუქტურული ერთეულების მაღალი ჩართულობით. გადაწყვეტილებები მიიღება გამჭვირვალედ, სამართლიანად და კოლეგიალურად ყველა დაინტერესებული მხარის მონაწილეობით. </w:t>
      </w:r>
    </w:p>
    <w:p w14:paraId="641FF41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უნივერსიტეტში ფუნქციონირებს მმართველი საბჭო და ფაკულტეტის საბჭო. მმართველი საბჭო წარმოადგენს უნივერსიტეტის მართვის კოლეგიურ ორგანოს, რომელსაც ხელმძღვანელობს მმართველი საბჭოს თავმჯდომარე – რექტორი. მისი პასუხიმგებლობა ვლინდება უნივერსიტეტში სწავლა/სწავლებისა და სამეცნიერო კვლევების პროცესების სტრატეგიულ და ოპერაციულ მართვაში. ფაკულტეტის საბჭოში შედის ფაკულტეტის აფილირებული აკადემიური პერსონალი. ფაკულტეტის საბჭო პერიოდულად იკრიბება და მსჯელობს სასწავლო პროცესის ეფექტურად წარმართვასა და ფაკულტეტის სტრატეგიულ განვითარებასთან დაკავშირებულ საკითხებზე. </w:t>
      </w:r>
    </w:p>
    <w:p w14:paraId="38E38B7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0C6B2DA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06C32116"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9. პროფესიული განვითარება </w:t>
      </w:r>
    </w:p>
    <w:p w14:paraId="06D8EC1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პერსონალის განვითარების გეგმა წარმოადგენს სამუშაოს შესრულების მართვის განუყოფელ ნაწილს, სადაც აისახება პერსონალის განსავითარებელი ცოდნა, უნარ-ჩვევები და კომპეტენციები. პერსონალის შეფასების შემდეგ მნიშვნელოვანია შეჯამდეს მისი ძლიერი და სუსტი მხარეები და განისაზღვროს განვითარების ის ასპექტები, რომელიც მნიშვნელოვანია სამუშაოს უკეთ შესრულებისათვის. </w:t>
      </w:r>
    </w:p>
    <w:p w14:paraId="4AE4D59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პერსონალის შეფასების შემდეგ მნიშვნელოვანია შეჯამდეს მისი ძლიერი და სუსტი მხარეები და დაიგეგმოს მისი განვითარება სხვადასხვა აქტივობების მეშვეობით: </w:t>
      </w:r>
    </w:p>
    <w:p w14:paraId="47E2C90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ტრენინგი; </w:t>
      </w:r>
    </w:p>
    <w:p w14:paraId="62474D8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განმავითარებელი დავალებები - ხელმძღვანელის მიერ მიცემული დავალება, რომელიც ახალი გამოწვევაა პერსონალისთვის, წარმოადგენს მისთვის სიახლეს და მიზნად ისახავს პერსონალის პროფესიულ განვითარებას; </w:t>
      </w:r>
    </w:p>
    <w:p w14:paraId="647676D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მენტორის მიჩენა - მენტორინგი წარმოადგენს უფრო გამოცდილი პირის (პერსონალის) მიერ ცოდნის, გამოცდილების გადაცემას ნაკლებ გამოცდილი პერსონალისთვის; </w:t>
      </w:r>
    </w:p>
    <w:p w14:paraId="2FBA939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 xml:space="preserve">დ) ქოუჩინგი - ქოუჩი (უშუალო ხელმძღვანელი) ეხმარება პერსონალს განივითაროს რომელიმე უნარი, კომპეტენცია (კომუნიკაცია, პერსონალთან ურთიერთობა, გადაწყვეტილების მიღება). ქოუჩის მიზანია პერსონალს თავადვე აპოვნინოს გამოსავალი, ალტერნატივები. ქოუჩინგის მიზანია განავითაროს და გააძლიეროს პერსონალი. </w:t>
      </w:r>
    </w:p>
    <w:p w14:paraId="23BCCE2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აღნიშნული ჩამონათვალი არასრულია და მას ხელმძღვანელის გადაწყვეტილებით შესაძლოა დაემატოს სხვა განმავითარებელი ღონისძიებები. </w:t>
      </w:r>
    </w:p>
    <w:p w14:paraId="1D3CFD1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47C6362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A18EF28"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10. წახალისება და დისციპლინური პასუხისმგებლობა </w:t>
      </w:r>
    </w:p>
    <w:p w14:paraId="499B9BB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თანამშრომლის მიერ სამსახურებრივ მოვალეობათა სანიმუშო შესრულებისთვის, ხანგრძლივი და კეთილსინდისიერი სამსახურისთვის, განსაკუთრებული სირთულის ან მნიშვნელობის დავალების შესრულებისთვის, ასევე მისი საქმიანობის შეფასების შედეგების საფუძველზე გამოიყენება სხვადასხვა წახალისების ფორმები. წახალისების ფორმებია: </w:t>
      </w:r>
    </w:p>
    <w:p w14:paraId="71B1683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მადლობის გამოცხადება; </w:t>
      </w:r>
    </w:p>
    <w:p w14:paraId="3DF7CA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შესაბამისი სიგელის გადაცემა; </w:t>
      </w:r>
    </w:p>
    <w:p w14:paraId="66195213" w14:textId="41DCA2DA"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გ</w:t>
      </w:r>
      <w:r w:rsidRPr="00F0318C">
        <w:rPr>
          <w:rFonts w:ascii="Sylfaen" w:eastAsia="Calibri" w:hAnsi="Sylfaen" w:cs="Times New Roman"/>
          <w:sz w:val="24"/>
          <w:szCs w:val="24"/>
          <w:lang w:val="ka-GE"/>
        </w:rPr>
        <w:t xml:space="preserve">) ფულადი ჯილდოს (პრემიის) გაცემა; </w:t>
      </w:r>
    </w:p>
    <w:p w14:paraId="746E9C22" w14:textId="35C2DB94"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დ</w:t>
      </w:r>
      <w:r w:rsidRPr="00F0318C">
        <w:rPr>
          <w:rFonts w:ascii="Sylfaen" w:eastAsia="Calibri" w:hAnsi="Sylfaen" w:cs="Times New Roman"/>
          <w:sz w:val="24"/>
          <w:szCs w:val="24"/>
          <w:lang w:val="ka-GE"/>
        </w:rPr>
        <w:t xml:space="preserve">) ფასიანი საჩუქრის გაცემა.  </w:t>
      </w:r>
    </w:p>
    <w:p w14:paraId="5268C08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შინაგანაწესის ან/და უნივერსიტეტის სხვა შიდა წესის დარღვევის შემთხვევაში თანამშრომელს შესაძლებელია დაეკისროს დისციპლინური პასუხისმგებლობის ზომა. </w:t>
      </w:r>
    </w:p>
    <w:p w14:paraId="17AE145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დისციპლინური პასუხისმგებლობის ზომებია: </w:t>
      </w:r>
    </w:p>
    <w:p w14:paraId="0C4E402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გაფრთხილება; </w:t>
      </w:r>
    </w:p>
    <w:p w14:paraId="30FF81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შრომითი ანაზღაურებიდან ერთჯერადად თანხის დაქვითვა, რომლის საერთო ოდენობა არ უნდა აღემატებოდეს შრომის ანაზღაურების 50 პროცენტს. </w:t>
      </w:r>
    </w:p>
    <w:p w14:paraId="5510CAE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თანამდებობიდან გათავისუფლება. </w:t>
      </w:r>
    </w:p>
    <w:p w14:paraId="0044EEE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F8D54AD"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11. თანამშრომელთა შორის კომუნიკაცია და არაფორმალური ურთიერთობები </w:t>
      </w:r>
    </w:p>
    <w:p w14:paraId="1BF6655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1. ვერცერთი ორგანიზაცია ვერ იარსებებს, თუკი მის წევრებს საშუალება არ ექნებათ, ეფექტური კომუნიკაცია დაამყარონ ერთმანეთთან. კომუნიკაცია იმაზე მეტია, ვიდრე მხოლოდ ინფორმაციის გადაცემა. ის გულისხმობს ჩართულობას, პირისპირ მოლაპარაკებებს, სამუშო გარემოში ადაპტაციასა და ამ გზით მიმღების მიერ ინფორმაციის იმავე შინაარსით აღქმას, რომლითაც გამოგზავნეს. კომუნიკაცია გაცილებით უფრო ეფექტურია, როდესაც ის ორმხრივია. </w:t>
      </w:r>
    </w:p>
    <w:p w14:paraId="569B740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თანამედროვე ტექნოლოგიები - ელექტრონული ფოსტის, ელექტრონული საქმისწარმოების სისტემების, სოციალური ქსელებისა თუ ტელეფონის სახით - საქმის გაადვილების საშუალებას იძლევა, თუმცა წარმოშობენ ახალ-ახალ პრობლემებსაც, რაც გამოიხატება პირისპირ ურთიერთობების სიმწირეში და, შესაბამისად, ინფორმაციის არასწორი ინტერპრეტაციის რისკის ზრდაში. იმისთვის, რომ განვაგრძოთ ახალ </w:t>
      </w:r>
      <w:r w:rsidRPr="00F0318C">
        <w:rPr>
          <w:rFonts w:ascii="Sylfaen" w:eastAsia="Calibri" w:hAnsi="Sylfaen" w:cs="Times New Roman"/>
          <w:sz w:val="24"/>
          <w:szCs w:val="24"/>
          <w:lang w:val="ka-GE"/>
        </w:rPr>
        <w:lastRenderedPageBreak/>
        <w:t xml:space="preserve">გამოწვევებსა და გარემოში ადაპტირება, აუცილებელია, ყურადღება მიექცეს კომუნიკაციის განვითარების სქემებს, მაგრამ ამავე დროს, აუცილებელია პირისპირ შეხვედრებიც წახალისდეს, რათა ადამიანებმა ერთმანეთთან უფრო მეტი სიახლოვე და გუნდური სულისკვეთება იგრძნონ. </w:t>
      </w:r>
    </w:p>
    <w:p w14:paraId="24BF292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გამართული შიდა კომუნიკაცია ხელს უწყობს ძლიერი ორგანიზაციული კულტურის ფორმირებას. ის უზრუნველყოფს თანამშრომლებსა და სტრუქტურულ ერთეულებს შორის ძლიერი კავშირების ჩამოყალიბებას, ეფექტურ კოორდინაციას, ანგარიშვალდებულებას, ერთიანი ხედვის ფორმირებას, ასევე, ბიძგს აძლევს შიდა დისკუსიასა და კონსენსუსს. </w:t>
      </w:r>
    </w:p>
    <w:p w14:paraId="549B8E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4.</w:t>
      </w:r>
      <w:r w:rsidRPr="00F0318C">
        <w:rPr>
          <w:rFonts w:ascii="Sylfaen" w:eastAsia="Calibri" w:hAnsi="Sylfaen" w:cs="Times New Roman"/>
          <w:sz w:val="24"/>
          <w:szCs w:val="24"/>
          <w:lang w:val="ka-GE"/>
        </w:rPr>
        <w:tab/>
        <w:t xml:space="preserve">შიდა კომუნიკაცია უნივერსიტეტის გამართული ფუნქციონირების ერთ-ერთი მთავარი ინსტრუმენტია და წარმოადგენს თანამშრომელთა მოტივირების უპირველეს მექანიზმს. ინფორმაციის გაცვლა უნივერსიტეტის ეფექტური მუშაობის წინაპირობაა. </w:t>
      </w:r>
    </w:p>
    <w:p w14:paraId="6EA80EE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5.</w:t>
      </w:r>
      <w:r w:rsidRPr="00F0318C">
        <w:rPr>
          <w:rFonts w:ascii="Sylfaen" w:eastAsia="Calibri" w:hAnsi="Sylfaen" w:cs="Times New Roman"/>
          <w:sz w:val="24"/>
          <w:szCs w:val="24"/>
          <w:lang w:val="ka-GE"/>
        </w:rPr>
        <w:tab/>
        <w:t xml:space="preserve">არსებობს კომუნიკაციის სხვადასხვა არხი, რომელთა მოქნილი შეჯერებით შესაძლებელია შიდა კომუნიკაციის ეფექტური განვითარება უნივერსიტეტში შიგნით. კომუნიკაციის სხვადასხვა ინსტრუმენტებს შორის აღსანიშნავია: </w:t>
      </w:r>
    </w:p>
    <w:p w14:paraId="404FC2D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ქაღალდზე დაფუძნებული - ქაღალდზე დაფუძლებული კომუნიკაცია ერთ-ერთი ყველაზე ძველი და ფართოდ გავრცელებული ფორმაა (მაგალითად, ოფიციალური თუ არაოფიციალური წერილები, დოკუმენტები და ა.შ.) </w:t>
      </w:r>
    </w:p>
    <w:p w14:paraId="4EF2FB7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ზეპირსიტყვიერი - შიდა კომუნიკაცია მაინც არ უნდა წარმოადგენდეს მხოლოდ ერთი მიმართულებით მოძრავ მოლაპარაკებას. უნდა წავახალისოთ დიალოგი, კითხვა-პასუხი და დებატების წარმოება. მაგ.: პირისპირ შეხვედრები, თათბირები, სემინარები და ა.შ.; </w:t>
      </w:r>
    </w:p>
    <w:p w14:paraId="5AA4D42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ელექტრონული - რაც შეეხება თანამშრომელთა შორის კომუნიკაციას, აქ პოზიტიური როლის შესრულება სოციალურ ქსელს შეუძლია. სოციალური მედიის საშუალებით ორგანიზაციას შეუძლია ინფორმაციის იმგვარი მიწოდება, რაც განსხვავდება ტრადიციული, ფორმალური, ჩაკეტილი და გადატვირთული მეილებისა თუ შეხვედრებისგან. მაგ.: ვებ-საიტი, ინტრანეტი, ბლოგი, სოციალური მედია და ა.შ.; </w:t>
      </w:r>
    </w:p>
    <w:p w14:paraId="006B953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უნარებისა და ღირებულებების ტრენინგები - მაგ.: ვორკშოპები ან შეხვედრები, ტრეინინგები, სემინარები და ა.შ. რომლებიც, თავის მხრივ, გუნდურ სულისკვეთებასაც ამაღლებს. </w:t>
      </w:r>
    </w:p>
    <w:p w14:paraId="3A47350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6.</w:t>
      </w:r>
      <w:r w:rsidRPr="00F0318C">
        <w:rPr>
          <w:rFonts w:ascii="Sylfaen" w:eastAsia="Calibri" w:hAnsi="Sylfaen" w:cs="Times New Roman"/>
          <w:sz w:val="24"/>
          <w:szCs w:val="24"/>
          <w:lang w:val="ka-GE"/>
        </w:rPr>
        <w:tab/>
        <w:t xml:space="preserve">შიდა კომუნიკაციის გაუმჯობესებამ უნდა უზრუნველყოს ყველა თანამშრომლის: </w:t>
      </w:r>
    </w:p>
    <w:p w14:paraId="58CAC25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სათანადო ინფორმირება - თითოეული თანამშრომელი ნათლად უნდა აღიქვამდეს როგორც უნივერსიტეტის მოლოდინებს მის მიმართ, ისე საკუთარი საქმიანობის მნიშვნელობას ორგანიზაციის საერთო მიზნების მიღწევაში; </w:t>
      </w:r>
    </w:p>
    <w:p w14:paraId="758E2C4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ჩართულობა - თანამშრომლებს უნდა ჰქონდეთ სურვილი და შესწევდეთ ძალა, რომ იყვნენ აქტიურად ჩართულნი უნივერსიტეტის მუშაობის გაუმჯობესებაში, ზრუნავდნენ საერთო მიზნის მიღწევაზე და გრძნობდნენ თავს ერთი გუნდის წევრებად; </w:t>
      </w:r>
    </w:p>
    <w:p w14:paraId="6A4604EC"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 xml:space="preserve">გ) სიამაყის შეგრძნება - თანამშრომლები უნდა გრძნობდნენ სიამაყეს იმ ორგანიზაციასთან ასოცირების გამო, სადაც მუშაობენ, აგრეთვე საკუთარიმიღწევების, ყოველდღიური სამუშაოსა და დავალებების მიმართ. </w:t>
      </w:r>
    </w:p>
    <w:p w14:paraId="1B37BD4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7.</w:t>
      </w:r>
      <w:r w:rsidRPr="00F0318C">
        <w:rPr>
          <w:rFonts w:ascii="Sylfaen" w:eastAsia="Calibri" w:hAnsi="Sylfaen" w:cs="Times New Roman"/>
          <w:sz w:val="24"/>
          <w:szCs w:val="24"/>
          <w:lang w:val="ka-GE"/>
        </w:rPr>
        <w:tab/>
        <w:t xml:space="preserve">უნივერსიტეტში შიდა კომუნიკაცია თანამშრომლების, შუა რგოლის მენეჯერებისა და ტოპ-მენეჯმენტის ჩართულობით მიმდინარეობს. </w:t>
      </w:r>
    </w:p>
    <w:p w14:paraId="4464598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თანამშრომლები - შიდა კომუნიკაციის განვითარების მიზანია, წაახალისოს და განავითაროს ინფორმირებული, მოტივირებული, დეტალებზე ორიენტირებული და სამუშაო პროცესში აქტიურად ჩართული პერსონალი, რომელიც თავს მიიჩნევს უნივერსიტეტის სრულფასოვან ნაწილად და იზიარებს მის ორგანიზაციულ კულტურას. </w:t>
      </w:r>
    </w:p>
    <w:p w14:paraId="58CC687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შუა რგოლის მენეჯერები - შუა რგოლის მენეჯერები არიან იდეალურ მდგომარეობაში შიდა კომუნიკაციის წასახალისებლად. მათ შესწევთ ძალა, უფრო კომპლექსური და ფართო საკითხი ლოკალურ ჭრილში ეფექტურად წარმოაჩინონ. ამასთან, თანამშრომლები თავს უფრო კომფორტულად გრძნობენ უშუალო მენეჯერებთან ურთიერთობისას. ტოპ-მენეჯმენტი - კვლევები აჩვენებს, რომ გაუმჯობესებული კომუნიკაცია ტოპ- მენეჯერების მხრიდან არის ყველაზე ეფექტური გზა თანამშრომელთა კმაყოფილების გაზრდისა. უმჯობესია, შემდეგი სახის ინფორმაცია წამოვიდეს უშუალოდ ტოპ- მენეჯერებისგან: </w:t>
      </w:r>
    </w:p>
    <w:p w14:paraId="34D15D5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ნებისმიერი ორგანიზაციული ცვლილების შესახებ; </w:t>
      </w:r>
    </w:p>
    <w:p w14:paraId="5EF611C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ხედვა ორგანიზაციის მომავალი განვითარების შესახებ; • პერიოდული ანგარიში ორგანიზაციის საქმიანობის შესახებ; </w:t>
      </w:r>
    </w:p>
    <w:p w14:paraId="21156E0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ორგანიზაციის ფინანსური მდგომარეობა. </w:t>
      </w:r>
    </w:p>
    <w:p w14:paraId="4E2A5E0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4A6707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D908C2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5D5DE3A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75F340B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0070F3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79DF7D5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sectPr w:rsidR="00F0318C" w:rsidRPr="00F0318C" w:rsidSect="00036D21">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4E920" w14:textId="77777777" w:rsidR="00CA25C0" w:rsidRDefault="00CA25C0" w:rsidP="007D08BF">
      <w:pPr>
        <w:spacing w:after="0" w:line="240" w:lineRule="auto"/>
      </w:pPr>
      <w:r>
        <w:separator/>
      </w:r>
    </w:p>
  </w:endnote>
  <w:endnote w:type="continuationSeparator" w:id="0">
    <w:p w14:paraId="61E1BC93" w14:textId="77777777" w:rsidR="00CA25C0" w:rsidRDefault="00CA25C0"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39DB4F51" w14:textId="0293DAFC" w:rsidR="00582608" w:rsidRDefault="00582608">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F0318C" w:rsidRPr="00F0318C">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2D7E9717" w14:textId="77777777" w:rsidR="00582608" w:rsidRDefault="00582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70D99" w14:textId="77777777" w:rsidR="00CA25C0" w:rsidRDefault="00CA25C0" w:rsidP="007D08BF">
      <w:pPr>
        <w:spacing w:after="0" w:line="240" w:lineRule="auto"/>
      </w:pPr>
      <w:r>
        <w:separator/>
      </w:r>
    </w:p>
  </w:footnote>
  <w:footnote w:type="continuationSeparator" w:id="0">
    <w:p w14:paraId="4052BB04" w14:textId="77777777" w:rsidR="00CA25C0" w:rsidRDefault="00CA25C0" w:rsidP="007D08BF">
      <w:pPr>
        <w:spacing w:after="0" w:line="240" w:lineRule="auto"/>
      </w:pPr>
      <w:r>
        <w:continuationSeparator/>
      </w:r>
    </w:p>
  </w:footnote>
  <w:footnote w:id="1">
    <w:p w14:paraId="33012197" w14:textId="77777777" w:rsidR="00F0318C" w:rsidRPr="00D83E5F" w:rsidRDefault="00F0318C" w:rsidP="00F0318C">
      <w:pPr>
        <w:pStyle w:val="FootnoteText"/>
        <w:rPr>
          <w:rFonts w:ascii="Sylfaen" w:hAnsi="Sylfaen"/>
          <w:i/>
          <w:sz w:val="16"/>
          <w:szCs w:val="16"/>
          <w:lang w:val="ka-GE"/>
        </w:rPr>
      </w:pPr>
      <w:r w:rsidRPr="00D83E5F">
        <w:rPr>
          <w:rFonts w:ascii="Sylfaen" w:hAnsi="Sylfaen"/>
          <w:i/>
          <w:sz w:val="16"/>
          <w:szCs w:val="16"/>
          <w:lang w:val="ka-GE"/>
        </w:rPr>
        <w:footnoteRef/>
      </w:r>
      <w:r w:rsidRPr="00D83E5F">
        <w:rPr>
          <w:rFonts w:ascii="Sylfaen" w:hAnsi="Sylfaen"/>
          <w:i/>
          <w:sz w:val="16"/>
          <w:szCs w:val="16"/>
          <w:lang w:val="ka-GE"/>
        </w:rPr>
        <w:t xml:space="preserve">   სტუდენტები, აკადემიური და მოწვეული პერსონალი და სხვ.</w:t>
      </w:r>
    </w:p>
  </w:footnote>
  <w:footnote w:id="2">
    <w:p w14:paraId="4D725CF2" w14:textId="77777777" w:rsidR="00F0318C" w:rsidRPr="00484E60" w:rsidRDefault="00F0318C" w:rsidP="00F0318C">
      <w:pPr>
        <w:pStyle w:val="FootnoteText"/>
        <w:rPr>
          <w:lang w:val="ka-GE"/>
        </w:rPr>
      </w:pPr>
      <w:r w:rsidRPr="00D83E5F">
        <w:rPr>
          <w:rFonts w:ascii="Sylfaen" w:hAnsi="Sylfaen"/>
          <w:i/>
          <w:sz w:val="16"/>
          <w:szCs w:val="16"/>
          <w:lang w:val="ka-GE"/>
        </w:rPr>
        <w:footnoteRef/>
      </w:r>
      <w:r w:rsidRPr="00D83E5F">
        <w:rPr>
          <w:rFonts w:ascii="Sylfaen" w:hAnsi="Sylfaen"/>
          <w:i/>
          <w:sz w:val="16"/>
          <w:szCs w:val="16"/>
          <w:lang w:val="ka-GE"/>
        </w:rPr>
        <w:t xml:space="preserve"> ადმინისტრაციული/დამხმარე პერსონალი, აკადემიური, სამეცნიერო და მოწვეული პერსონალი.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92366" w14:textId="77777777" w:rsidR="00582608" w:rsidRDefault="00CA25C0">
    <w:pPr>
      <w:pStyle w:val="Header"/>
    </w:pPr>
    <w:r>
      <w:rPr>
        <w:noProof/>
      </w:rPr>
      <w:pict w14:anchorId="573E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anchor distT="0" distB="0" distL="114300" distR="114300" simplePos="0" relativeHeight="251660288" behindDoc="1" locked="0" layoutInCell="0" allowOverlap="1" wp14:anchorId="1515C61B" wp14:editId="7F5DAD48">
          <wp:simplePos x="0" y="0"/>
          <wp:positionH relativeFrom="margin">
            <wp:align>center</wp:align>
          </wp:positionH>
          <wp:positionV relativeFrom="margin">
            <wp:align>center</wp:align>
          </wp:positionV>
          <wp:extent cx="6857365" cy="5788025"/>
          <wp:effectExtent l="0" t="0" r="0" b="0"/>
          <wp:wrapNone/>
          <wp:docPr id="5"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8240" behindDoc="1" locked="0" layoutInCell="0" allowOverlap="1" wp14:anchorId="47CD9B31" wp14:editId="35C78057">
          <wp:simplePos x="0" y="0"/>
          <wp:positionH relativeFrom="margin">
            <wp:align>center</wp:align>
          </wp:positionH>
          <wp:positionV relativeFrom="margin">
            <wp:align>center</wp:align>
          </wp:positionV>
          <wp:extent cx="6857365" cy="5788025"/>
          <wp:effectExtent l="0" t="0" r="0" b="0"/>
          <wp:wrapNone/>
          <wp:docPr id="6"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6192" behindDoc="1" locked="0" layoutInCell="0" allowOverlap="1" wp14:anchorId="419365C4" wp14:editId="4EB3FA14">
          <wp:simplePos x="0" y="0"/>
          <wp:positionH relativeFrom="margin">
            <wp:align>center</wp:align>
          </wp:positionH>
          <wp:positionV relativeFrom="margin">
            <wp:align>center</wp:align>
          </wp:positionV>
          <wp:extent cx="5929630" cy="5851525"/>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90ED0" w14:textId="77777777" w:rsidR="00582608" w:rsidRDefault="00CA25C0" w:rsidP="00582608">
    <w:pPr>
      <w:pStyle w:val="Header"/>
      <w:tabs>
        <w:tab w:val="left" w:pos="360"/>
      </w:tabs>
      <w:ind w:left="-680" w:right="-1440"/>
    </w:pPr>
    <w:r>
      <w:rPr>
        <w:noProof/>
      </w:rPr>
      <w:pict w14:anchorId="698D9DFD">
        <v:shapetype id="_x0000_t202" coordsize="21600,21600" o:spt="202" path="m,l,21600r21600,l21600,xe">
          <v:stroke joinstyle="miter"/>
          <v:path gradientshapeok="t" o:connecttype="rect"/>
        </v:shapetype>
        <v:shape id="Text Box 2" o:spid="_x0000_s2082" type="#_x0000_t202" style="position:absolute;left:0;text-align:left;margin-left:-.15pt;margin-top:34pt;width:431.9pt;height:45.7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33D4D755"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0755A0F0"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პერსონალის მართვის პოლიტიკა</w:t>
                </w:r>
              </w:p>
              <w:p w14:paraId="4085D722" w14:textId="3722243C" w:rsidR="00582608" w:rsidRPr="00193B75" w:rsidRDefault="00582608">
                <w:pPr>
                  <w:rPr>
                    <w:rFonts w:ascii="Sylfaen" w:hAnsi="Sylfaen" w:cs="Sylfaen"/>
                    <w:color w:val="FFFFFF" w:themeColor="background1"/>
                    <w:sz w:val="28"/>
                    <w:szCs w:val="28"/>
                    <w:lang w:val="ka-GE"/>
                  </w:rPr>
                </w:pPr>
              </w:p>
            </w:txbxContent>
          </v:textbox>
        </v:shape>
      </w:pict>
    </w:r>
    <w:r>
      <w:rPr>
        <w:noProof/>
      </w:rPr>
      <w:pict w14:anchorId="78F2F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inline distT="0" distB="0" distL="0" distR="0" wp14:anchorId="1B657136" wp14:editId="1DB4D7CC">
          <wp:extent cx="7746797" cy="14546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26216E"/>
    <w:multiLevelType w:val="multilevel"/>
    <w:tmpl w:val="DBD8992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751DD"/>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84B1256"/>
    <w:multiLevelType w:val="hybridMultilevel"/>
    <w:tmpl w:val="50CAD18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C6122"/>
    <w:multiLevelType w:val="hybridMultilevel"/>
    <w:tmpl w:val="214A7DE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8B5AC8"/>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4D6A0C"/>
    <w:multiLevelType w:val="hybridMultilevel"/>
    <w:tmpl w:val="01EAA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354869"/>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1684A"/>
    <w:multiLevelType w:val="multilevel"/>
    <w:tmpl w:val="46A4545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1A2489"/>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4183E"/>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45952"/>
    <w:multiLevelType w:val="hybridMultilevel"/>
    <w:tmpl w:val="1B6C807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412E4F"/>
    <w:multiLevelType w:val="hybridMultilevel"/>
    <w:tmpl w:val="47A0259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0"/>
  </w:num>
  <w:num w:numId="2">
    <w:abstractNumId w:val="14"/>
  </w:num>
  <w:num w:numId="3">
    <w:abstractNumId w:val="28"/>
  </w:num>
  <w:num w:numId="4">
    <w:abstractNumId w:val="9"/>
  </w:num>
  <w:num w:numId="5">
    <w:abstractNumId w:val="19"/>
  </w:num>
  <w:num w:numId="6">
    <w:abstractNumId w:val="24"/>
  </w:num>
  <w:num w:numId="7">
    <w:abstractNumId w:val="17"/>
  </w:num>
  <w:num w:numId="8">
    <w:abstractNumId w:val="13"/>
  </w:num>
  <w:num w:numId="9">
    <w:abstractNumId w:val="11"/>
  </w:num>
  <w:num w:numId="10">
    <w:abstractNumId w:val="7"/>
  </w:num>
  <w:num w:numId="11">
    <w:abstractNumId w:val="4"/>
  </w:num>
  <w:num w:numId="12">
    <w:abstractNumId w:val="29"/>
  </w:num>
  <w:num w:numId="13">
    <w:abstractNumId w:val="31"/>
  </w:num>
  <w:num w:numId="14">
    <w:abstractNumId w:val="20"/>
  </w:num>
  <w:num w:numId="15">
    <w:abstractNumId w:val="0"/>
  </w:num>
  <w:num w:numId="16">
    <w:abstractNumId w:val="8"/>
  </w:num>
  <w:num w:numId="17">
    <w:abstractNumId w:val="18"/>
  </w:num>
  <w:num w:numId="18">
    <w:abstractNumId w:val="2"/>
  </w:num>
  <w:num w:numId="19">
    <w:abstractNumId w:val="25"/>
  </w:num>
  <w:num w:numId="20">
    <w:abstractNumId w:val="2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1"/>
  </w:num>
  <w:num w:numId="24">
    <w:abstractNumId w:val="15"/>
  </w:num>
  <w:num w:numId="25">
    <w:abstractNumId w:val="1"/>
  </w:num>
  <w:num w:numId="26">
    <w:abstractNumId w:val="6"/>
  </w:num>
  <w:num w:numId="27">
    <w:abstractNumId w:val="23"/>
  </w:num>
  <w:num w:numId="28">
    <w:abstractNumId w:val="5"/>
  </w:num>
  <w:num w:numId="29">
    <w:abstractNumId w:val="22"/>
  </w:num>
  <w:num w:numId="30">
    <w:abstractNumId w:val="3"/>
  </w:num>
  <w:num w:numId="31">
    <w:abstractNumId w:val="1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0D5B"/>
    <w:rsid w:val="00005541"/>
    <w:rsid w:val="00015BF8"/>
    <w:rsid w:val="000358EB"/>
    <w:rsid w:val="00036A21"/>
    <w:rsid w:val="00036D21"/>
    <w:rsid w:val="00040ABB"/>
    <w:rsid w:val="0004229E"/>
    <w:rsid w:val="000527E6"/>
    <w:rsid w:val="00053D41"/>
    <w:rsid w:val="000548B3"/>
    <w:rsid w:val="00056200"/>
    <w:rsid w:val="00062C73"/>
    <w:rsid w:val="000710BE"/>
    <w:rsid w:val="00075B3B"/>
    <w:rsid w:val="00087BA4"/>
    <w:rsid w:val="0009234B"/>
    <w:rsid w:val="00092607"/>
    <w:rsid w:val="00092EE1"/>
    <w:rsid w:val="00094312"/>
    <w:rsid w:val="000A44B7"/>
    <w:rsid w:val="000A507B"/>
    <w:rsid w:val="000B1F1D"/>
    <w:rsid w:val="000B73FC"/>
    <w:rsid w:val="000C5902"/>
    <w:rsid w:val="000C7A18"/>
    <w:rsid w:val="000D7FD2"/>
    <w:rsid w:val="000E1D4A"/>
    <w:rsid w:val="000E4B81"/>
    <w:rsid w:val="000E6BF6"/>
    <w:rsid w:val="000F18B0"/>
    <w:rsid w:val="000F2DF7"/>
    <w:rsid w:val="000F4DE9"/>
    <w:rsid w:val="00102900"/>
    <w:rsid w:val="00102FDC"/>
    <w:rsid w:val="00104533"/>
    <w:rsid w:val="00104B63"/>
    <w:rsid w:val="00104BD2"/>
    <w:rsid w:val="00107D20"/>
    <w:rsid w:val="00111FE8"/>
    <w:rsid w:val="00112A8A"/>
    <w:rsid w:val="001130B0"/>
    <w:rsid w:val="001204C3"/>
    <w:rsid w:val="0012612A"/>
    <w:rsid w:val="00126DBE"/>
    <w:rsid w:val="00131B54"/>
    <w:rsid w:val="00133BE3"/>
    <w:rsid w:val="00135942"/>
    <w:rsid w:val="00140050"/>
    <w:rsid w:val="001460E7"/>
    <w:rsid w:val="00153FFD"/>
    <w:rsid w:val="00160CCC"/>
    <w:rsid w:val="00163CF5"/>
    <w:rsid w:val="00163E5F"/>
    <w:rsid w:val="001712AF"/>
    <w:rsid w:val="0017135A"/>
    <w:rsid w:val="0017609C"/>
    <w:rsid w:val="001825AF"/>
    <w:rsid w:val="00182ED1"/>
    <w:rsid w:val="00184D5E"/>
    <w:rsid w:val="0019098F"/>
    <w:rsid w:val="001921ED"/>
    <w:rsid w:val="00193B75"/>
    <w:rsid w:val="00197310"/>
    <w:rsid w:val="001A71C5"/>
    <w:rsid w:val="001B62EB"/>
    <w:rsid w:val="001C5B16"/>
    <w:rsid w:val="001D40AC"/>
    <w:rsid w:val="001D6923"/>
    <w:rsid w:val="001E4EBE"/>
    <w:rsid w:val="001F0DE4"/>
    <w:rsid w:val="001F48EB"/>
    <w:rsid w:val="00205761"/>
    <w:rsid w:val="002076C6"/>
    <w:rsid w:val="00212EF8"/>
    <w:rsid w:val="00213BC0"/>
    <w:rsid w:val="00214045"/>
    <w:rsid w:val="00215DF9"/>
    <w:rsid w:val="00220CB6"/>
    <w:rsid w:val="0023160F"/>
    <w:rsid w:val="00233563"/>
    <w:rsid w:val="00233C68"/>
    <w:rsid w:val="00235E42"/>
    <w:rsid w:val="00242588"/>
    <w:rsid w:val="002479D8"/>
    <w:rsid w:val="00247A15"/>
    <w:rsid w:val="0025406E"/>
    <w:rsid w:val="00257CE7"/>
    <w:rsid w:val="002603C9"/>
    <w:rsid w:val="00261E12"/>
    <w:rsid w:val="00267EBC"/>
    <w:rsid w:val="00270A20"/>
    <w:rsid w:val="00275B53"/>
    <w:rsid w:val="00284D66"/>
    <w:rsid w:val="00285834"/>
    <w:rsid w:val="002928A6"/>
    <w:rsid w:val="00296082"/>
    <w:rsid w:val="002B2493"/>
    <w:rsid w:val="002B5DC6"/>
    <w:rsid w:val="002D01BD"/>
    <w:rsid w:val="002D0337"/>
    <w:rsid w:val="002D3C5C"/>
    <w:rsid w:val="002D7F17"/>
    <w:rsid w:val="002F6FB4"/>
    <w:rsid w:val="003040CD"/>
    <w:rsid w:val="0031071B"/>
    <w:rsid w:val="003140FB"/>
    <w:rsid w:val="00317806"/>
    <w:rsid w:val="003222E3"/>
    <w:rsid w:val="0032570C"/>
    <w:rsid w:val="003437FC"/>
    <w:rsid w:val="0035338E"/>
    <w:rsid w:val="00354717"/>
    <w:rsid w:val="00356582"/>
    <w:rsid w:val="00360142"/>
    <w:rsid w:val="0036264F"/>
    <w:rsid w:val="00362C3B"/>
    <w:rsid w:val="003633CF"/>
    <w:rsid w:val="003650F1"/>
    <w:rsid w:val="00366C14"/>
    <w:rsid w:val="003672EE"/>
    <w:rsid w:val="0036764E"/>
    <w:rsid w:val="00370ED3"/>
    <w:rsid w:val="003751AB"/>
    <w:rsid w:val="00375426"/>
    <w:rsid w:val="00385CE0"/>
    <w:rsid w:val="00386068"/>
    <w:rsid w:val="00386E39"/>
    <w:rsid w:val="00391287"/>
    <w:rsid w:val="003940AE"/>
    <w:rsid w:val="00397CA1"/>
    <w:rsid w:val="003A0CD9"/>
    <w:rsid w:val="003A4C5B"/>
    <w:rsid w:val="003A57DF"/>
    <w:rsid w:val="003B1C2B"/>
    <w:rsid w:val="003C19D4"/>
    <w:rsid w:val="003D0EE3"/>
    <w:rsid w:val="003D17FF"/>
    <w:rsid w:val="003D1D96"/>
    <w:rsid w:val="003D213B"/>
    <w:rsid w:val="003E36FE"/>
    <w:rsid w:val="003E519F"/>
    <w:rsid w:val="003E7AA5"/>
    <w:rsid w:val="003F2305"/>
    <w:rsid w:val="003F7BE6"/>
    <w:rsid w:val="00403EAF"/>
    <w:rsid w:val="00407E0D"/>
    <w:rsid w:val="0041172D"/>
    <w:rsid w:val="00414708"/>
    <w:rsid w:val="00423AAF"/>
    <w:rsid w:val="004253EC"/>
    <w:rsid w:val="0042548B"/>
    <w:rsid w:val="00425863"/>
    <w:rsid w:val="004261D6"/>
    <w:rsid w:val="00432375"/>
    <w:rsid w:val="00432517"/>
    <w:rsid w:val="00434E4D"/>
    <w:rsid w:val="004361A4"/>
    <w:rsid w:val="00442E23"/>
    <w:rsid w:val="00445D89"/>
    <w:rsid w:val="004525BB"/>
    <w:rsid w:val="00461431"/>
    <w:rsid w:val="004627A6"/>
    <w:rsid w:val="0047133E"/>
    <w:rsid w:val="0047321D"/>
    <w:rsid w:val="00474616"/>
    <w:rsid w:val="004764EE"/>
    <w:rsid w:val="0047762D"/>
    <w:rsid w:val="0048048C"/>
    <w:rsid w:val="00482B0F"/>
    <w:rsid w:val="004876BA"/>
    <w:rsid w:val="00490D8F"/>
    <w:rsid w:val="004956F8"/>
    <w:rsid w:val="004B0684"/>
    <w:rsid w:val="004B22E3"/>
    <w:rsid w:val="004B4AD8"/>
    <w:rsid w:val="004C06E2"/>
    <w:rsid w:val="004C2D6E"/>
    <w:rsid w:val="004D2F37"/>
    <w:rsid w:val="004E05CE"/>
    <w:rsid w:val="004E3CF4"/>
    <w:rsid w:val="004E60F7"/>
    <w:rsid w:val="004E69CF"/>
    <w:rsid w:val="004F08C1"/>
    <w:rsid w:val="004F2551"/>
    <w:rsid w:val="004F2CC4"/>
    <w:rsid w:val="004F3E2D"/>
    <w:rsid w:val="004F4DB7"/>
    <w:rsid w:val="004F5F7C"/>
    <w:rsid w:val="005066D9"/>
    <w:rsid w:val="00516A75"/>
    <w:rsid w:val="00521D6A"/>
    <w:rsid w:val="00526F28"/>
    <w:rsid w:val="00527E76"/>
    <w:rsid w:val="00531846"/>
    <w:rsid w:val="0053196E"/>
    <w:rsid w:val="00550F24"/>
    <w:rsid w:val="00551206"/>
    <w:rsid w:val="0055135F"/>
    <w:rsid w:val="005617F0"/>
    <w:rsid w:val="00571E46"/>
    <w:rsid w:val="005733B3"/>
    <w:rsid w:val="00573705"/>
    <w:rsid w:val="00582608"/>
    <w:rsid w:val="00592891"/>
    <w:rsid w:val="005A6461"/>
    <w:rsid w:val="005A6A6A"/>
    <w:rsid w:val="005B01BF"/>
    <w:rsid w:val="005B313C"/>
    <w:rsid w:val="005B43B7"/>
    <w:rsid w:val="005C24A4"/>
    <w:rsid w:val="005C254E"/>
    <w:rsid w:val="005C61B0"/>
    <w:rsid w:val="005D75EC"/>
    <w:rsid w:val="005E035E"/>
    <w:rsid w:val="005E288E"/>
    <w:rsid w:val="005E32E6"/>
    <w:rsid w:val="005E76EA"/>
    <w:rsid w:val="005F2C5A"/>
    <w:rsid w:val="006017B8"/>
    <w:rsid w:val="00611367"/>
    <w:rsid w:val="00615F7B"/>
    <w:rsid w:val="00623492"/>
    <w:rsid w:val="0063073C"/>
    <w:rsid w:val="00636C2C"/>
    <w:rsid w:val="006458D5"/>
    <w:rsid w:val="0065677E"/>
    <w:rsid w:val="00665A0B"/>
    <w:rsid w:val="00665E8B"/>
    <w:rsid w:val="006670A8"/>
    <w:rsid w:val="0067017C"/>
    <w:rsid w:val="00672BF0"/>
    <w:rsid w:val="00675F27"/>
    <w:rsid w:val="00693738"/>
    <w:rsid w:val="006A22B8"/>
    <w:rsid w:val="006A2BD4"/>
    <w:rsid w:val="006A3A17"/>
    <w:rsid w:val="006C4899"/>
    <w:rsid w:val="006C5557"/>
    <w:rsid w:val="006D094C"/>
    <w:rsid w:val="006D3BBC"/>
    <w:rsid w:val="006D595A"/>
    <w:rsid w:val="006E3002"/>
    <w:rsid w:val="006F5B7F"/>
    <w:rsid w:val="00701432"/>
    <w:rsid w:val="0070276B"/>
    <w:rsid w:val="00702C80"/>
    <w:rsid w:val="007030CE"/>
    <w:rsid w:val="007045A8"/>
    <w:rsid w:val="00717B77"/>
    <w:rsid w:val="007204EE"/>
    <w:rsid w:val="007209A6"/>
    <w:rsid w:val="00725F9B"/>
    <w:rsid w:val="00726E07"/>
    <w:rsid w:val="00727A92"/>
    <w:rsid w:val="007408F8"/>
    <w:rsid w:val="00742632"/>
    <w:rsid w:val="0074374A"/>
    <w:rsid w:val="00743CD6"/>
    <w:rsid w:val="00745366"/>
    <w:rsid w:val="00750AD7"/>
    <w:rsid w:val="00773D3A"/>
    <w:rsid w:val="00786227"/>
    <w:rsid w:val="007900BA"/>
    <w:rsid w:val="00791181"/>
    <w:rsid w:val="007957F1"/>
    <w:rsid w:val="00796D04"/>
    <w:rsid w:val="007B3DE3"/>
    <w:rsid w:val="007C1F1F"/>
    <w:rsid w:val="007C3C6D"/>
    <w:rsid w:val="007C50E0"/>
    <w:rsid w:val="007C71A2"/>
    <w:rsid w:val="007D08BF"/>
    <w:rsid w:val="007D5EED"/>
    <w:rsid w:val="007E0181"/>
    <w:rsid w:val="007F3F9C"/>
    <w:rsid w:val="007F4A58"/>
    <w:rsid w:val="00812051"/>
    <w:rsid w:val="008160AF"/>
    <w:rsid w:val="008237AA"/>
    <w:rsid w:val="0083448F"/>
    <w:rsid w:val="0084722B"/>
    <w:rsid w:val="00857592"/>
    <w:rsid w:val="00866607"/>
    <w:rsid w:val="00867AE7"/>
    <w:rsid w:val="00876C0F"/>
    <w:rsid w:val="008817D8"/>
    <w:rsid w:val="00882020"/>
    <w:rsid w:val="008843C2"/>
    <w:rsid w:val="00892451"/>
    <w:rsid w:val="00893456"/>
    <w:rsid w:val="008A1A15"/>
    <w:rsid w:val="008A4E8A"/>
    <w:rsid w:val="008A6360"/>
    <w:rsid w:val="008A6B70"/>
    <w:rsid w:val="008B574B"/>
    <w:rsid w:val="008C6485"/>
    <w:rsid w:val="008D0CC1"/>
    <w:rsid w:val="008D1347"/>
    <w:rsid w:val="008D20AA"/>
    <w:rsid w:val="008E6C04"/>
    <w:rsid w:val="00902F5B"/>
    <w:rsid w:val="00922A3A"/>
    <w:rsid w:val="00937041"/>
    <w:rsid w:val="00944AF7"/>
    <w:rsid w:val="00945D50"/>
    <w:rsid w:val="00950560"/>
    <w:rsid w:val="0095674E"/>
    <w:rsid w:val="00957725"/>
    <w:rsid w:val="00962C6B"/>
    <w:rsid w:val="00962E80"/>
    <w:rsid w:val="00975839"/>
    <w:rsid w:val="00981307"/>
    <w:rsid w:val="009876D2"/>
    <w:rsid w:val="009923DC"/>
    <w:rsid w:val="00993131"/>
    <w:rsid w:val="009932FA"/>
    <w:rsid w:val="009A169E"/>
    <w:rsid w:val="009B5132"/>
    <w:rsid w:val="009C5D7A"/>
    <w:rsid w:val="009D498A"/>
    <w:rsid w:val="009E1BDB"/>
    <w:rsid w:val="009E3114"/>
    <w:rsid w:val="009E7A0A"/>
    <w:rsid w:val="009F1373"/>
    <w:rsid w:val="009F4088"/>
    <w:rsid w:val="009F4944"/>
    <w:rsid w:val="00A0356D"/>
    <w:rsid w:val="00A037B8"/>
    <w:rsid w:val="00A03983"/>
    <w:rsid w:val="00A1235B"/>
    <w:rsid w:val="00A15BE3"/>
    <w:rsid w:val="00A1632F"/>
    <w:rsid w:val="00A23F77"/>
    <w:rsid w:val="00A37F96"/>
    <w:rsid w:val="00A413BC"/>
    <w:rsid w:val="00A41460"/>
    <w:rsid w:val="00A5073A"/>
    <w:rsid w:val="00A51E40"/>
    <w:rsid w:val="00A535DB"/>
    <w:rsid w:val="00A5362A"/>
    <w:rsid w:val="00A56F87"/>
    <w:rsid w:val="00A678DF"/>
    <w:rsid w:val="00A70F62"/>
    <w:rsid w:val="00A70FB2"/>
    <w:rsid w:val="00A716CE"/>
    <w:rsid w:val="00A7235F"/>
    <w:rsid w:val="00A731D7"/>
    <w:rsid w:val="00A77BF1"/>
    <w:rsid w:val="00A854B0"/>
    <w:rsid w:val="00A95227"/>
    <w:rsid w:val="00A9676B"/>
    <w:rsid w:val="00A9767D"/>
    <w:rsid w:val="00AA0F50"/>
    <w:rsid w:val="00AB12BB"/>
    <w:rsid w:val="00AB65A1"/>
    <w:rsid w:val="00AC6A04"/>
    <w:rsid w:val="00AC7128"/>
    <w:rsid w:val="00AD04ED"/>
    <w:rsid w:val="00AD2502"/>
    <w:rsid w:val="00AD2E64"/>
    <w:rsid w:val="00AD2FC0"/>
    <w:rsid w:val="00AD3774"/>
    <w:rsid w:val="00AD7BA5"/>
    <w:rsid w:val="00AF2549"/>
    <w:rsid w:val="00AF35D2"/>
    <w:rsid w:val="00AF7D99"/>
    <w:rsid w:val="00AF7DBA"/>
    <w:rsid w:val="00AF7F8B"/>
    <w:rsid w:val="00B11C2D"/>
    <w:rsid w:val="00B11CF4"/>
    <w:rsid w:val="00B14331"/>
    <w:rsid w:val="00B1529B"/>
    <w:rsid w:val="00B30E46"/>
    <w:rsid w:val="00B30EAD"/>
    <w:rsid w:val="00B370CA"/>
    <w:rsid w:val="00B41CA4"/>
    <w:rsid w:val="00B42F79"/>
    <w:rsid w:val="00B5367E"/>
    <w:rsid w:val="00B56727"/>
    <w:rsid w:val="00B57C49"/>
    <w:rsid w:val="00B62299"/>
    <w:rsid w:val="00B6232B"/>
    <w:rsid w:val="00B62B49"/>
    <w:rsid w:val="00B64B28"/>
    <w:rsid w:val="00B67109"/>
    <w:rsid w:val="00B74A07"/>
    <w:rsid w:val="00B90153"/>
    <w:rsid w:val="00B90F0E"/>
    <w:rsid w:val="00BA5761"/>
    <w:rsid w:val="00BB1272"/>
    <w:rsid w:val="00BB1D36"/>
    <w:rsid w:val="00BB47ED"/>
    <w:rsid w:val="00BB4DA0"/>
    <w:rsid w:val="00BC126A"/>
    <w:rsid w:val="00BD341A"/>
    <w:rsid w:val="00BD5547"/>
    <w:rsid w:val="00BD6100"/>
    <w:rsid w:val="00BD6A76"/>
    <w:rsid w:val="00BE104D"/>
    <w:rsid w:val="00BE210E"/>
    <w:rsid w:val="00BF21A9"/>
    <w:rsid w:val="00BF738C"/>
    <w:rsid w:val="00C10AE9"/>
    <w:rsid w:val="00C16262"/>
    <w:rsid w:val="00C17506"/>
    <w:rsid w:val="00C26133"/>
    <w:rsid w:val="00C312FB"/>
    <w:rsid w:val="00C35147"/>
    <w:rsid w:val="00C4409E"/>
    <w:rsid w:val="00C5417E"/>
    <w:rsid w:val="00C55788"/>
    <w:rsid w:val="00C577D5"/>
    <w:rsid w:val="00C60AEF"/>
    <w:rsid w:val="00C64F4D"/>
    <w:rsid w:val="00C65C52"/>
    <w:rsid w:val="00C662E4"/>
    <w:rsid w:val="00C73B6A"/>
    <w:rsid w:val="00C7442A"/>
    <w:rsid w:val="00C8372B"/>
    <w:rsid w:val="00C85B28"/>
    <w:rsid w:val="00C87A9B"/>
    <w:rsid w:val="00C912D6"/>
    <w:rsid w:val="00C97A2F"/>
    <w:rsid w:val="00CA1118"/>
    <w:rsid w:val="00CA25C0"/>
    <w:rsid w:val="00CA3D30"/>
    <w:rsid w:val="00CA5F9B"/>
    <w:rsid w:val="00CA7905"/>
    <w:rsid w:val="00CB343C"/>
    <w:rsid w:val="00CB39AF"/>
    <w:rsid w:val="00CC4C18"/>
    <w:rsid w:val="00CC5ABE"/>
    <w:rsid w:val="00CC7731"/>
    <w:rsid w:val="00CD0955"/>
    <w:rsid w:val="00CD19D3"/>
    <w:rsid w:val="00CD4CBA"/>
    <w:rsid w:val="00CE4372"/>
    <w:rsid w:val="00CF43F1"/>
    <w:rsid w:val="00CF6828"/>
    <w:rsid w:val="00CF7F14"/>
    <w:rsid w:val="00D17E3A"/>
    <w:rsid w:val="00D22CD6"/>
    <w:rsid w:val="00D26252"/>
    <w:rsid w:val="00D26686"/>
    <w:rsid w:val="00D31983"/>
    <w:rsid w:val="00D36508"/>
    <w:rsid w:val="00D417AB"/>
    <w:rsid w:val="00D46B4C"/>
    <w:rsid w:val="00D50550"/>
    <w:rsid w:val="00D5194B"/>
    <w:rsid w:val="00D57AF5"/>
    <w:rsid w:val="00D603B1"/>
    <w:rsid w:val="00D619EC"/>
    <w:rsid w:val="00D6299D"/>
    <w:rsid w:val="00D734C4"/>
    <w:rsid w:val="00D73EB2"/>
    <w:rsid w:val="00D8512A"/>
    <w:rsid w:val="00D859BE"/>
    <w:rsid w:val="00D862B3"/>
    <w:rsid w:val="00D86911"/>
    <w:rsid w:val="00DA325B"/>
    <w:rsid w:val="00DA4D45"/>
    <w:rsid w:val="00DA662D"/>
    <w:rsid w:val="00DB38E7"/>
    <w:rsid w:val="00DD14EF"/>
    <w:rsid w:val="00DD1661"/>
    <w:rsid w:val="00DE0C95"/>
    <w:rsid w:val="00DE378D"/>
    <w:rsid w:val="00DF5D0C"/>
    <w:rsid w:val="00E01076"/>
    <w:rsid w:val="00E02023"/>
    <w:rsid w:val="00E05647"/>
    <w:rsid w:val="00E062A6"/>
    <w:rsid w:val="00E0752B"/>
    <w:rsid w:val="00E13ED8"/>
    <w:rsid w:val="00E148E9"/>
    <w:rsid w:val="00E15245"/>
    <w:rsid w:val="00E1664E"/>
    <w:rsid w:val="00E228A2"/>
    <w:rsid w:val="00E2323A"/>
    <w:rsid w:val="00E27F9A"/>
    <w:rsid w:val="00E31EC1"/>
    <w:rsid w:val="00E44EE6"/>
    <w:rsid w:val="00E47B63"/>
    <w:rsid w:val="00E515C7"/>
    <w:rsid w:val="00E61A28"/>
    <w:rsid w:val="00E71309"/>
    <w:rsid w:val="00E714FF"/>
    <w:rsid w:val="00E75702"/>
    <w:rsid w:val="00E819FE"/>
    <w:rsid w:val="00E8397C"/>
    <w:rsid w:val="00E85888"/>
    <w:rsid w:val="00E943A4"/>
    <w:rsid w:val="00E947F7"/>
    <w:rsid w:val="00E94DC8"/>
    <w:rsid w:val="00EA187B"/>
    <w:rsid w:val="00EB1902"/>
    <w:rsid w:val="00EB1D5C"/>
    <w:rsid w:val="00EB37E3"/>
    <w:rsid w:val="00EB38B6"/>
    <w:rsid w:val="00EB5398"/>
    <w:rsid w:val="00EB58FC"/>
    <w:rsid w:val="00EC0863"/>
    <w:rsid w:val="00EC265D"/>
    <w:rsid w:val="00EC3899"/>
    <w:rsid w:val="00EC3BF4"/>
    <w:rsid w:val="00EC62C0"/>
    <w:rsid w:val="00EC7661"/>
    <w:rsid w:val="00EC7C6C"/>
    <w:rsid w:val="00ED20CF"/>
    <w:rsid w:val="00ED36DA"/>
    <w:rsid w:val="00ED5F7E"/>
    <w:rsid w:val="00ED7377"/>
    <w:rsid w:val="00F0318C"/>
    <w:rsid w:val="00F200A4"/>
    <w:rsid w:val="00F205CE"/>
    <w:rsid w:val="00F23D1C"/>
    <w:rsid w:val="00F26572"/>
    <w:rsid w:val="00F40178"/>
    <w:rsid w:val="00F42FCD"/>
    <w:rsid w:val="00F46A54"/>
    <w:rsid w:val="00F669FE"/>
    <w:rsid w:val="00F66F9A"/>
    <w:rsid w:val="00F70165"/>
    <w:rsid w:val="00F7225D"/>
    <w:rsid w:val="00F72654"/>
    <w:rsid w:val="00F733DA"/>
    <w:rsid w:val="00F73413"/>
    <w:rsid w:val="00F760B7"/>
    <w:rsid w:val="00F765EA"/>
    <w:rsid w:val="00F7737F"/>
    <w:rsid w:val="00F870EF"/>
    <w:rsid w:val="00F87119"/>
    <w:rsid w:val="00F87684"/>
    <w:rsid w:val="00F92F8E"/>
    <w:rsid w:val="00F93DCE"/>
    <w:rsid w:val="00FA4EE8"/>
    <w:rsid w:val="00FA78E6"/>
    <w:rsid w:val="00FC5962"/>
    <w:rsid w:val="00FD0239"/>
    <w:rsid w:val="00FD023C"/>
    <w:rsid w:val="00FD682F"/>
    <w:rsid w:val="00FD6DC2"/>
    <w:rsid w:val="00FE0039"/>
    <w:rsid w:val="00FE1064"/>
    <w:rsid w:val="00FF6E43"/>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491B4F54"/>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8A4E8A"/>
    <w:pPr>
      <w:tabs>
        <w:tab w:val="right" w:leader="dot" w:pos="10110"/>
      </w:tabs>
      <w:spacing w:after="100" w:line="276" w:lineRule="auto"/>
    </w:pPr>
    <w:rPr>
      <w:rFonts w:ascii="Sylfaen" w:eastAsia="Calibri" w:hAnsi="Sylfaen" w:cs="Sylfaen"/>
      <w:b/>
      <w:noProof/>
      <w:color w:val="2F5496" w:themeColor="accent1" w:themeShade="BF"/>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table" w:customStyle="1" w:styleId="GridTable5Dark-Accent31">
    <w:name w:val="Grid Table 5 Dark - Accent 31"/>
    <w:basedOn w:val="TableNormal"/>
    <w:uiPriority w:val="50"/>
    <w:rsid w:val="00193B75"/>
    <w:pPr>
      <w:spacing w:after="0" w:line="240" w:lineRule="auto"/>
    </w:pPr>
    <w:rPr>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autoRedefine/>
    <w:uiPriority w:val="39"/>
    <w:unhideWhenUsed/>
    <w:rsid w:val="00A51E40"/>
    <w:pPr>
      <w:spacing w:after="100"/>
      <w:ind w:left="220"/>
    </w:pPr>
  </w:style>
  <w:style w:type="character" w:styleId="CommentReference">
    <w:name w:val="annotation reference"/>
    <w:basedOn w:val="DefaultParagraphFont"/>
    <w:uiPriority w:val="99"/>
    <w:semiHidden/>
    <w:unhideWhenUsed/>
    <w:rsid w:val="007209A6"/>
    <w:rPr>
      <w:sz w:val="16"/>
      <w:szCs w:val="16"/>
    </w:rPr>
  </w:style>
  <w:style w:type="paragraph" w:styleId="FootnoteText">
    <w:name w:val="footnote text"/>
    <w:basedOn w:val="Normal"/>
    <w:link w:val="FootnoteTextChar"/>
    <w:uiPriority w:val="99"/>
    <w:semiHidden/>
    <w:unhideWhenUsed/>
    <w:rsid w:val="00F03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1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87831">
      <w:bodyDiv w:val="1"/>
      <w:marLeft w:val="0"/>
      <w:marRight w:val="0"/>
      <w:marTop w:val="0"/>
      <w:marBottom w:val="0"/>
      <w:divBdr>
        <w:top w:val="none" w:sz="0" w:space="0" w:color="auto"/>
        <w:left w:val="none" w:sz="0" w:space="0" w:color="auto"/>
        <w:bottom w:val="none" w:sz="0" w:space="0" w:color="auto"/>
        <w:right w:val="none" w:sz="0" w:space="0" w:color="auto"/>
      </w:divBdr>
      <w:divsChild>
        <w:div w:id="2017609737">
          <w:marLeft w:val="0"/>
          <w:marRight w:val="0"/>
          <w:marTop w:val="0"/>
          <w:marBottom w:val="0"/>
          <w:divBdr>
            <w:top w:val="none" w:sz="0" w:space="0" w:color="auto"/>
            <w:left w:val="none" w:sz="0" w:space="0" w:color="auto"/>
            <w:bottom w:val="none" w:sz="0" w:space="0" w:color="auto"/>
            <w:right w:val="none" w:sz="0" w:space="0" w:color="auto"/>
          </w:divBdr>
        </w:div>
      </w:divsChild>
    </w:div>
    <w:div w:id="594167764">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851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A31C7-483A-4EBE-8A84-84B2E255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10</Pages>
  <Words>2638</Words>
  <Characters>15043</Characters>
  <Application>Microsoft Office Word</Application>
  <DocSecurity>0</DocSecurity>
  <Lines>125</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193</cp:revision>
  <cp:lastPrinted>2019-03-15T08:07:00Z</cp:lastPrinted>
  <dcterms:created xsi:type="dcterms:W3CDTF">2019-02-19T18:11:00Z</dcterms:created>
  <dcterms:modified xsi:type="dcterms:W3CDTF">2025-03-26T14:39:00Z</dcterms:modified>
</cp:coreProperties>
</file>